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2429F" w:rsidRPr="0022429F" w:rsidTr="001E093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9F" w:rsidRDefault="0022429F" w:rsidP="0022429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" o:allowincell="f" filled="f" stroked="f">
                <v:textbox inset="1pt,1pt,1pt,1pt">
                  <w:txbxContent>
                    <w:p w:rsidR="0022429F" w:rsidRDefault="0022429F" w:rsidP="0022429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2429F" w:rsidRPr="0022429F" w:rsidTr="001E093D">
        <w:tc>
          <w:tcPr>
            <w:tcW w:w="2691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ТАРИФАХ НА ЖИЛИЩНО-КОММУНАЛЬНЫЕ УСЛУГИ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состоянию </w:t>
            </w:r>
            <w:r w:rsidRPr="004A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30 июня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E4AC3" w:rsidRPr="004A10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 декабря 2017</w:t>
            </w:r>
            <w:r w:rsidRPr="004A1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22429F" w:rsidRPr="0022429F" w:rsidRDefault="0022429F" w:rsidP="002242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274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295910</wp:posOffset>
                </wp:positionV>
                <wp:extent cx="1823720" cy="233045"/>
                <wp:effectExtent l="0" t="0" r="24130" b="1460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580.45pt;margin-top:23.3pt;width:143.6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22429F" w:rsidRPr="0022429F" w:rsidTr="001E093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1-тарифы (ЖКХ)</w:t>
            </w:r>
          </w:p>
        </w:tc>
      </w:tr>
      <w:tr w:rsidR="0022429F" w:rsidRPr="0022429F" w:rsidTr="001E093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7613650</wp:posOffset>
                      </wp:positionH>
                      <wp:positionV relativeFrom="paragraph">
                        <wp:posOffset>1049020</wp:posOffset>
                      </wp:positionV>
                      <wp:extent cx="1449705" cy="200660"/>
                      <wp:effectExtent l="0" t="0" r="17145" b="2794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599.5pt;margin-top:82.6pt;width:114.1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органы государственной власти субъекта Российской Федерации, органы  местного самоуправления, устанавливающие плату за содержание и ремонт жилых </w:t>
            </w:r>
            <w:proofErr w:type="gram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помещений</w:t>
            </w:r>
            <w:proofErr w:type="gram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</w: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br/>
              <w:t>и осуществляющие полномочия в области регулирования тарифов на товары и услуги  организаций коммунального комплекса (</w:t>
            </w:r>
            <w:proofErr w:type="spell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ресурсоснабжающих</w:t>
            </w:r>
            <w:proofErr w:type="spell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организаций) (органы регулирования):</w:t>
            </w:r>
          </w:p>
          <w:p w:rsidR="0022429F" w:rsidRPr="0022429F" w:rsidRDefault="0022429F" w:rsidP="0022429F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февраля, 15 июля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17.07.2015 № 327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Полугодовая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2579"/>
        <w:gridCol w:w="2580"/>
        <w:gridCol w:w="2580"/>
        <w:gridCol w:w="2580"/>
        <w:gridCol w:w="2580"/>
      </w:tblGrid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Путиловское сельское поселение Кировского муниципального района ЛО</w:t>
            </w:r>
          </w:p>
        </w:tc>
      </w:tr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187351, ЛО, Кировский район, с.Путилово, </w:t>
            </w:r>
            <w:proofErr w:type="spell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ратьев</w:t>
            </w:r>
            <w:proofErr w:type="spell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Пожарских, д.2</w:t>
            </w:r>
          </w:p>
        </w:tc>
      </w:tr>
      <w:tr w:rsidR="0022429F" w:rsidRPr="0022429F" w:rsidTr="001E093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ОКТМО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поселения: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1 - города и поселки городского типа,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2 - сельские населенные пункты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0609215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04182877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41625440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 1. Плата за жилое помещение</w:t>
      </w:r>
    </w:p>
    <w:p w:rsidR="0022429F" w:rsidRPr="0022429F" w:rsidRDefault="0022429F" w:rsidP="002242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Коды по ОКЕИ: квадратный метр – 055; рубль – 383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4"/>
        <w:gridCol w:w="874"/>
        <w:gridCol w:w="1211"/>
        <w:gridCol w:w="2438"/>
        <w:gridCol w:w="3866"/>
      </w:tblGrid>
      <w:tr w:rsidR="0022429F" w:rsidRPr="0022429F" w:rsidTr="001E093D">
        <w:trPr>
          <w:cantSplit/>
          <w:trHeight w:val="105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 установленный на текущий год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5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пользование жилым помещением (плата за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br/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C80369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5,76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 жилого помещения  в многоквартирных жилых домах со всеми видами благоустройств (в месяц):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trHeight w:val="169"/>
          <w:jc w:val="center"/>
        </w:trPr>
        <w:tc>
          <w:tcPr>
            <w:tcW w:w="5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 мусоропроводы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и/или мусоропроводы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17,95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F95950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17,95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капитальный ремонт многоквартирного жилого дома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C80369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5,55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Раздел 2. Тарифы на оплату коммунальных услуг</w:t>
      </w:r>
    </w:p>
    <w:p w:rsidR="0022429F" w:rsidRPr="0022429F" w:rsidRDefault="0022429F" w:rsidP="0022429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Коды по ОКЕИ: рубль – 383; киловатт час – 245; кубический метр – 113; килограмм – 166;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тонна – 168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95"/>
        <w:gridCol w:w="720"/>
        <w:gridCol w:w="1260"/>
        <w:gridCol w:w="2520"/>
        <w:gridCol w:w="1980"/>
        <w:gridCol w:w="1980"/>
        <w:gridCol w:w="1980"/>
      </w:tblGrid>
      <w:tr w:rsidR="0022429F" w:rsidRPr="0022429F" w:rsidTr="001E093D">
        <w:trPr>
          <w:cantSplit/>
          <w:tblHeader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экономически обоснованный 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Тариф, установленный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установленный на текущий год 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</w:t>
            </w:r>
            <w:proofErr w:type="gramEnd"/>
          </w:p>
        </w:tc>
      </w:tr>
      <w:tr w:rsidR="0022429F" w:rsidRPr="0022429F" w:rsidTr="001E093D">
        <w:trPr>
          <w:cantSplit/>
          <w:tblHeader/>
        </w:trPr>
        <w:tc>
          <w:tcPr>
            <w:tcW w:w="3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обоснованный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117077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 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водоснабжение:</w:t>
            </w:r>
          </w:p>
          <w:p w:rsidR="0022429F" w:rsidRPr="0022429F" w:rsidRDefault="0022429F" w:rsidP="0022429F">
            <w:pPr>
              <w:autoSpaceDE w:val="0"/>
              <w:autoSpaceDN w:val="0"/>
              <w:adjustRightInd w:val="0"/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открытой системе горячего водоснабжения (теплоснабжения)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117077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977427" w:rsidRDefault="00BA3AD4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2492,29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7D49C8" w:rsidRDefault="00BA3AD4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BA3A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2492,29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2492,29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F95950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A8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2492,29</w:t>
            </w:r>
          </w:p>
        </w:tc>
      </w:tr>
      <w:tr w:rsidR="0022429F" w:rsidRPr="0022429F" w:rsidTr="00A86E7A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977427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977427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C11B2C" w:rsidP="005E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A86E7A" w:rsidP="00A8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2,8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сетевым газом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7D49C8" w:rsidRDefault="0089453E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6194,45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7D49C8" w:rsidRDefault="0089453E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6194,45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6194,45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A86E7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6194,45</w:t>
            </w:r>
          </w:p>
        </w:tc>
      </w:tr>
      <w:tr w:rsidR="0022429F" w:rsidRPr="0022429F" w:rsidTr="001E093D">
        <w:trPr>
          <w:trHeight w:val="32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сжиженным газом (за исключением поставок бытового газа в баллонах)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 w:colFirst="6" w:colLast="6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бытового газа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баллонах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End w:id="0"/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твердого топлива при наличии печного отопления: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*)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услугам газоснабжения указываются розничные цены</w:t>
      </w:r>
      <w:proofErr w:type="gramEnd"/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3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Надбавки к цене (тарифу)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организаций)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для потребителей и нормативы потребления коммунальных услуг</w:t>
      </w:r>
    </w:p>
    <w:p w:rsidR="0022429F" w:rsidRPr="0022429F" w:rsidRDefault="0022429F" w:rsidP="0022429F">
      <w:pPr>
        <w:spacing w:after="0" w:line="240" w:lineRule="auto"/>
        <w:ind w:left="70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Коды по ОКЕИ: кубический метр – 113; 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киловатт час  –  245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C11E76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0,0173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 сетевым газом: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приготовления пищи и (или) подогрева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20,8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Утилизация, обезвреживание и захоронение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Справочно</w:t>
      </w:r>
      <w:proofErr w:type="spellEnd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Социальная норма площади жилого помещения на 1 гражданина (30) </w:t>
      </w:r>
      <w:r w:rsidR="00AE3C9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 </w:t>
      </w:r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по ОКЕИ: квадратный метр – 055)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норма потребления электрической энергии (31) ___________  кВт/час (код по ОКЕИ: киловатт час – 245)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22429F" w:rsidRPr="0022429F" w:rsidTr="001E093D">
        <w:trPr>
          <w:cantSplit/>
          <w:tblHeader/>
        </w:trPr>
        <w:tc>
          <w:tcPr>
            <w:tcW w:w="4111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      Должностное лицо, ответственное </w:t>
            </w: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за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D7F6A" w:rsidRPr="007D49C8" w:rsidRDefault="009D7F6A" w:rsidP="007D49C8">
            <w:pPr>
              <w:tabs>
                <w:tab w:val="left" w:pos="31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429F" w:rsidRPr="007D49C8" w:rsidRDefault="007D49C8" w:rsidP="009D7F6A">
            <w:pPr>
              <w:tabs>
                <w:tab w:val="left" w:pos="31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Спец</w:t>
            </w:r>
            <w:proofErr w:type="gramEnd"/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. 1 кат.</w:t>
            </w:r>
            <w:r w:rsidR="009D7F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9D7F6A"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Дедкова О.Н.</w:t>
            </w:r>
          </w:p>
        </w:tc>
        <w:tc>
          <w:tcPr>
            <w:tcW w:w="2867" w:type="dxa"/>
            <w:gridSpan w:val="2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(должность)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(Ф.И.О.)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(подпись)</w:t>
            </w:r>
          </w:p>
        </w:tc>
      </w:tr>
      <w:tr w:rsidR="0022429F" w:rsidRPr="0022429F" w:rsidTr="001E093D">
        <w:trPr>
          <w:cantSplit/>
          <w:trHeight w:val="235"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9D7F6A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>68-841______________</w:t>
            </w:r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977427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E</w:t>
            </w:r>
            <w:r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-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mail</w:t>
            </w:r>
            <w:r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: __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adm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_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putilovo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@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mail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.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ru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____</w:t>
            </w:r>
          </w:p>
        </w:tc>
        <w:tc>
          <w:tcPr>
            <w:tcW w:w="283" w:type="dxa"/>
          </w:tcPr>
          <w:p w:rsidR="0022429F" w:rsidRPr="00977427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22429F" w:rsidRPr="0022429F" w:rsidRDefault="00F71698" w:rsidP="00F71698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«_13_» ____02___2018 </w:t>
            </w:r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год</w:t>
            </w: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(номер контактного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 xml:space="preserve">     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телефона)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(дата составления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документа)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2429F">
        <w:rPr>
          <w:rFonts w:ascii="Times New Roman" w:eastAsia="Times New Roman" w:hAnsi="Times New Roman" w:cs="Times New Roman"/>
          <w:sz w:val="36"/>
          <w:szCs w:val="20"/>
          <w:lang w:eastAsia="ru-RU"/>
        </w:rPr>
        <w:br w:type="page"/>
      </w:r>
    </w:p>
    <w:p w:rsidR="0022429F" w:rsidRPr="0022429F" w:rsidRDefault="0022429F" w:rsidP="00224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22429F" w:rsidRPr="0022429F" w:rsidRDefault="0022429F" w:rsidP="0022429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Общие положения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1. Форма федерального статистического наблюдения № 1–тарифы (ЖКХ) предоставляется органами государственной власти субъектов Российской Федерации (органами регулирования субъектов Российской Федерации), органами местного самоуправления, устанавливающими плату за содержание и ремонт жилых помещений (органами регулирования муниципальных образований) и осуществляющими полномочия в области регулирования тарифов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соответствии со ст.156 п.3 Жилищного кодекса Российский Федерации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платы за пользование жилым помещением (платы за наем), платы за содержание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– городах федерального значения Москве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Санкт-Петербурге и Севастополе – органом государственной власти соответствующего субъекта Российской Федерации).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2. Форма предоставляется в сроки, указанные на бланке формы, территориальному органу Федеральной службы государственной статистики в субъекте Российской Федерации по установленному им адресу. Данные приводятся по состоянию на конец отчетного периода (на 31 декабря и 30 июня).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предоставляются отдельно по городам и поселкам городского типа (код 1), по сельским населенным пунктам (код 2).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предоставлении формы должны быть обеспечены полнота заполнения и достоверность содержащихся в ней данных.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t>.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22429F" w:rsidRPr="0022429F" w:rsidRDefault="0022429F" w:rsidP="0022429F">
      <w:pPr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2242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Заполнение показателей формы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Экономически обоснованный тариф (ЭОТ)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размер платы за содержание и ремонт жилого помещения и предоставление коммунальных услуг (водо-, тепл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электро-, газоснабжение и водоотведение), обеспечивающий минимально-необходимый уровень возмещения затрат на расширенное воспроизводство с учетом принятой производственной программы предприятия по повышению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эффективности деятельности организаций, проведению мероприятий по модернизации и реконструкции эксплуатируемых организацией объектов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val="ru-MO" w:eastAsia="ru-RU"/>
        </w:rPr>
        <w:footnoteReference w:customMarkFollows="1" w:id="1"/>
        <w:t>*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Тарифы для населения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устанавливаются до перехода к 100% (полной) оплате жилищно-коммунальных услуг за счет средств населения в виде фактической доли от экономически обоснованного тарифа, которая представляет собой уровень платежей граждан за услуги жилищно-коммунального хозяйства (постановлением Правительства Российской Федерации от 29.08.2005 № 541 «О федеральных стандартах оплаты жилого помещения и коммунальных услуг» уровень платежей граждан установлен в размере 100% ЭОТ).</w:t>
      </w:r>
      <w:proofErr w:type="gramEnd"/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Надбавка к цене (тарифу) для потребителей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ценовая ставка, которая учитывается при расчетах потребителей с организациями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ресурсоснабжающими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организациями), устанавливается в целях финансирования инвестиционных программ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 и общий размер которой соответствует сумме надбавок к тарифам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организаций), реализующих инвестиционные программы по развитию системы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"/>
        <w:t>*</w:t>
      </w:r>
      <w:proofErr w:type="gramEnd"/>
    </w:p>
    <w:p w:rsidR="0022429F" w:rsidRPr="0022429F" w:rsidRDefault="0022429F" w:rsidP="0022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157 Жилищного кодекса Российской Федерации и постановлением Правительства Российской Федерации от 23 мая 2006 г. № 306 «Об утверждении Правил установления и определения нормативов потребления коммунальных услуг»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 потребления коммунальной услуги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представляет собой количественный показатель объема потребления коммунального ресурса (холодная вода, горячая вода, природный и (или) сжиженный углеводородный газ, электрическая энергия, тепловая энергия, сточные бытовые воды, отводимые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централизованным сетям инженерно-технического обеспечения),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применяемый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расчета размера платы за коммунальную услугу при отсутствии приборов учета. Нормативы потребления коммунальных услуг утверждаются органами государственной власти субъектов Российской Федерации.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Нормативы отражаются в следующих единицах измерения: в отношении холодного и горячего водоснабжения, водоотведения – куб. метр на 1 человека, в отношении электроснабжения – кВт/ч на человека, в отношении отопления – Гкал на 1 кв. метр общей площади жилых помещений, в отношении газоснабжения: для приготовления пищи и (или) подогрева воды – куб. метр на 1 человека, для отопления – куб. метр на 1 кв. метр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жилых помещений.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Норматив потребления по жилищным услугам определяется исходя из социальной нормы жилого помещения, приходящегося 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br/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1 человека (кв. м общей площади жилого помещения).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8. Строка 07 заполняется в случае, если тарифы на горячее водоснабжение, используемые при расчетах с потребителями в закрытой системе горячего водоснабжения, установлены в расчете на 1 м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горячей воды.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 тариф на горячую воду (строки 08, 09) устанавливается в виде двухкомпонентного тарифа на горячую воду в закрытой системе горячего водоснабжения, состоящего из компонента на холодную воду и компонента на тепловую энергию. 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устанавливается двухкомпонентный тариф на горячую воду (строки 10, 11) в открытой системе теплоснабжения (горячего водоснабжения) для теплоснабжающих организаций, поставляющих горячую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воду с использованием открытой системы теплоснабжения (горячего водоснабжения). 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Если в субъекте Российской Федерации, муниципальном образовании устанавливаются дифференцированные тарифы на оплату жилищно-коммунальных услуг и нормативы их потребления, то в форме № 1-тарифы (ЖКХ) отражается их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средневзвешенная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числу проживающих в обслуживаемом жилищном фонде, на который распространяется соответствующий тариф (норматив). При невозможности проведения указанного расчета допускается использовать наиболее распространенные значения показателей (т.е. по жилищному фонду, в котором проживает наибольшая часть населения).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Графа 5 раздела 1, графы 6, 7 раздела 2 заполняются только в отчете за II полугодие. В указанных графах отражаются тарифы, действующие на дату предоставления формы, т.е. по состоянию на 15 февраля 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т.г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12. Информация заполняется в тех единицах измерения, которые указаны в форме, с двумя десятичными знаками (кроме строки 24 по графе 6 раздела 3). Строка 24 по графе 6 раздела 3 заполняется с четырьмя десятичными знаками.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формы № 1-тарифы (ЖКХ) необходимо учитывать следующие контроли:</w:t>
      </w: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92"/>
      </w:tblGrid>
      <w:tr w:rsidR="0022429F" w:rsidRPr="0022429F" w:rsidTr="001E093D">
        <w:tc>
          <w:tcPr>
            <w:tcW w:w="8592" w:type="dxa"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2.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гр.4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гр.5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гр.6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гр.7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3.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10 по строке 21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5 по строке 22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12 по строке 23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0,0001 ≤ гр.6 ≤ 1,0 по строке 24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≤ гр.6 ≤ 240 по строкам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25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26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строка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&gt;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</w:t>
            </w:r>
          </w:p>
        </w:tc>
      </w:tr>
    </w:tbl>
    <w:p w:rsidR="0022429F" w:rsidRPr="0022429F" w:rsidRDefault="0022429F" w:rsidP="0022429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DA8" w:rsidRDefault="000B6DA8"/>
    <w:sectPr w:rsidR="000B6DA8" w:rsidSect="003D7652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B9" w:rsidRDefault="008073B9" w:rsidP="0022429F">
      <w:pPr>
        <w:spacing w:after="0" w:line="240" w:lineRule="auto"/>
      </w:pPr>
      <w:r>
        <w:separator/>
      </w:r>
    </w:p>
  </w:endnote>
  <w:endnote w:type="continuationSeparator" w:id="0">
    <w:p w:rsidR="008073B9" w:rsidRDefault="008073B9" w:rsidP="002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B9" w:rsidRDefault="008073B9" w:rsidP="0022429F">
      <w:pPr>
        <w:spacing w:after="0" w:line="240" w:lineRule="auto"/>
      </w:pPr>
      <w:r>
        <w:separator/>
      </w:r>
    </w:p>
  </w:footnote>
  <w:footnote w:type="continuationSeparator" w:id="0">
    <w:p w:rsidR="008073B9" w:rsidRDefault="008073B9" w:rsidP="0022429F">
      <w:pPr>
        <w:spacing w:after="0" w:line="240" w:lineRule="auto"/>
      </w:pPr>
      <w:r>
        <w:continuationSeparator/>
      </w:r>
    </w:p>
  </w:footnote>
  <w:footnote w:id="1">
    <w:p w:rsidR="0022429F" w:rsidRDefault="0022429F" w:rsidP="0022429F">
      <w:pPr>
        <w:pStyle w:val="a3"/>
      </w:pPr>
      <w:r w:rsidRPr="004B20A8">
        <w:rPr>
          <w:rStyle w:val="a5"/>
        </w:rPr>
        <w:t>*</w:t>
      </w:r>
      <w:r>
        <w:t xml:space="preserve"> понятие дано только в целях заполнения формы № 1-тарифы (ЖКХ)</w:t>
      </w:r>
    </w:p>
  </w:footnote>
  <w:footnote w:id="2">
    <w:p w:rsidR="0022429F" w:rsidRDefault="0022429F" w:rsidP="0022429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9"/>
    <w:rsid w:val="000353B0"/>
    <w:rsid w:val="000B6DA8"/>
    <w:rsid w:val="00117077"/>
    <w:rsid w:val="001C287B"/>
    <w:rsid w:val="0022429F"/>
    <w:rsid w:val="00291D54"/>
    <w:rsid w:val="003B2EE0"/>
    <w:rsid w:val="004A10AB"/>
    <w:rsid w:val="00531EBA"/>
    <w:rsid w:val="00561280"/>
    <w:rsid w:val="00586E0B"/>
    <w:rsid w:val="005E4AC3"/>
    <w:rsid w:val="007D49C8"/>
    <w:rsid w:val="007D56D2"/>
    <w:rsid w:val="008073B9"/>
    <w:rsid w:val="0089453E"/>
    <w:rsid w:val="008D2C47"/>
    <w:rsid w:val="00977427"/>
    <w:rsid w:val="009D7F6A"/>
    <w:rsid w:val="00A86E7A"/>
    <w:rsid w:val="00AE3C92"/>
    <w:rsid w:val="00BA3AD4"/>
    <w:rsid w:val="00BC6CCF"/>
    <w:rsid w:val="00BF0A12"/>
    <w:rsid w:val="00C11B2C"/>
    <w:rsid w:val="00C11E76"/>
    <w:rsid w:val="00C17178"/>
    <w:rsid w:val="00C80369"/>
    <w:rsid w:val="00C9097B"/>
    <w:rsid w:val="00D13575"/>
    <w:rsid w:val="00DC4439"/>
    <w:rsid w:val="00E7643C"/>
    <w:rsid w:val="00F71698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2018-02-13T13:51:00Z</cp:lastPrinted>
  <dcterms:created xsi:type="dcterms:W3CDTF">2017-02-03T12:49:00Z</dcterms:created>
  <dcterms:modified xsi:type="dcterms:W3CDTF">2018-02-14T07:18:00Z</dcterms:modified>
</cp:coreProperties>
</file>