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B" w:rsidRPr="007472DB" w:rsidRDefault="007472DB" w:rsidP="007472DB">
      <w:pPr>
        <w:jc w:val="center"/>
        <w:rPr>
          <w:sz w:val="29"/>
          <w:szCs w:val="24"/>
        </w:rPr>
      </w:pPr>
      <w:r w:rsidRPr="007472DB">
        <w:rPr>
          <w:noProof/>
          <w:sz w:val="29"/>
          <w:szCs w:val="24"/>
        </w:rPr>
        <w:drawing>
          <wp:inline distT="0" distB="0" distL="0" distR="0" wp14:anchorId="46083E44" wp14:editId="45499749">
            <wp:extent cx="790575" cy="895350"/>
            <wp:effectExtent l="0" t="0" r="9525" b="0"/>
            <wp:docPr id="2" name="Рисунок 2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DB" w:rsidRPr="007472DB" w:rsidRDefault="007472DB" w:rsidP="007472DB">
      <w:pPr>
        <w:jc w:val="center"/>
        <w:rPr>
          <w:sz w:val="29"/>
          <w:szCs w:val="24"/>
        </w:rPr>
      </w:pP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>КИРОВСКОГО МУНИЦИПАЛЬНОГО РАЙОНА</w:t>
      </w: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 xml:space="preserve"> ЛЕНИНГРАДСКОЙ ОБЛАСТИ</w:t>
      </w:r>
    </w:p>
    <w:p w:rsidR="007472DB" w:rsidRPr="007472DB" w:rsidRDefault="007472DB" w:rsidP="007472DB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7472DB" w:rsidRPr="007472DB" w:rsidRDefault="007472DB" w:rsidP="007472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7472DB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7472DB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7472DB">
        <w:rPr>
          <w:rFonts w:eastAsia="Arial Unicode MS"/>
          <w:sz w:val="36"/>
          <w:szCs w:val="36"/>
          <w:lang w:eastAsia="zh-CN"/>
        </w:rPr>
        <w:t xml:space="preserve">   </w:t>
      </w:r>
    </w:p>
    <w:p w:rsidR="007472DB" w:rsidRPr="007472DB" w:rsidRDefault="007472DB" w:rsidP="007472DB">
      <w:pPr>
        <w:jc w:val="center"/>
        <w:rPr>
          <w:b/>
          <w:bCs/>
          <w:sz w:val="28"/>
          <w:szCs w:val="24"/>
        </w:rPr>
      </w:pPr>
    </w:p>
    <w:p w:rsidR="007472DB" w:rsidRPr="007472DB" w:rsidRDefault="007472DB" w:rsidP="007472DB">
      <w:pPr>
        <w:jc w:val="center"/>
        <w:rPr>
          <w:b/>
          <w:bCs/>
          <w:sz w:val="24"/>
          <w:szCs w:val="24"/>
        </w:rPr>
      </w:pPr>
    </w:p>
    <w:p w:rsidR="007472DB" w:rsidRPr="00FE3B03" w:rsidRDefault="007472DB" w:rsidP="007472DB">
      <w:pPr>
        <w:keepNext/>
        <w:jc w:val="center"/>
        <w:outlineLvl w:val="1"/>
        <w:rPr>
          <w:bCs/>
          <w:sz w:val="24"/>
          <w:szCs w:val="24"/>
          <w:u w:val="single"/>
          <w:lang w:val="en-US"/>
        </w:rPr>
      </w:pPr>
      <w:r w:rsidRPr="007472DB">
        <w:rPr>
          <w:b/>
          <w:bCs/>
          <w:sz w:val="24"/>
          <w:szCs w:val="24"/>
        </w:rPr>
        <w:t>от 01 сентября</w:t>
      </w:r>
      <w:r w:rsidRPr="007472DB">
        <w:rPr>
          <w:bCs/>
          <w:sz w:val="24"/>
          <w:szCs w:val="24"/>
        </w:rPr>
        <w:t xml:space="preserve"> </w:t>
      </w:r>
      <w:r w:rsidRPr="007472DB">
        <w:rPr>
          <w:b/>
          <w:bCs/>
          <w:sz w:val="24"/>
          <w:szCs w:val="24"/>
        </w:rPr>
        <w:t>2017 года  № 2</w:t>
      </w:r>
      <w:r w:rsidR="00FE3B03">
        <w:rPr>
          <w:b/>
          <w:bCs/>
          <w:sz w:val="24"/>
          <w:szCs w:val="24"/>
        </w:rPr>
        <w:t>2</w:t>
      </w:r>
      <w:r w:rsidR="00FE3B03">
        <w:rPr>
          <w:b/>
          <w:bCs/>
          <w:sz w:val="24"/>
          <w:szCs w:val="24"/>
          <w:lang w:val="en-US"/>
        </w:rPr>
        <w:t>5</w:t>
      </w: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О </w:t>
      </w:r>
      <w:r w:rsidR="007C6C3B">
        <w:rPr>
          <w:b/>
          <w:sz w:val="24"/>
          <w:szCs w:val="24"/>
        </w:rPr>
        <w:t>проведении проверки</w:t>
      </w:r>
      <w:r>
        <w:rPr>
          <w:b/>
          <w:sz w:val="24"/>
          <w:szCs w:val="24"/>
        </w:rPr>
        <w:t xml:space="preserve"> </w:t>
      </w:r>
      <w:r w:rsidRPr="00CA08D5">
        <w:rPr>
          <w:b/>
          <w:sz w:val="24"/>
          <w:szCs w:val="24"/>
        </w:rPr>
        <w:t>готовности к отопительному периоду</w:t>
      </w:r>
    </w:p>
    <w:p w:rsidR="00CA08D5" w:rsidRPr="00CA08D5" w:rsidRDefault="00891A1C" w:rsidP="00CA0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</w:t>
      </w:r>
      <w:r w:rsidR="007472DB">
        <w:rPr>
          <w:b/>
          <w:sz w:val="24"/>
          <w:szCs w:val="24"/>
        </w:rPr>
        <w:t>7-2018</w:t>
      </w:r>
      <w:r w:rsidR="00412447">
        <w:rPr>
          <w:b/>
          <w:sz w:val="24"/>
          <w:szCs w:val="24"/>
        </w:rPr>
        <w:t xml:space="preserve"> </w:t>
      </w:r>
      <w:r w:rsidR="00CA08D5" w:rsidRPr="00CA08D5">
        <w:rPr>
          <w:b/>
          <w:sz w:val="24"/>
          <w:szCs w:val="24"/>
        </w:rPr>
        <w:t xml:space="preserve">годов теплоснабжающих, </w:t>
      </w:r>
      <w:proofErr w:type="spellStart"/>
      <w:r w:rsidR="00CA08D5" w:rsidRPr="00CA08D5">
        <w:rPr>
          <w:b/>
          <w:sz w:val="24"/>
          <w:szCs w:val="24"/>
        </w:rPr>
        <w:t>теплосетевых</w:t>
      </w:r>
      <w:proofErr w:type="spellEnd"/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 организаций и потребителей тепловой энергии </w:t>
      </w: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Default="00CF7046" w:rsidP="00CA08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CA08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A08D5">
        <w:rPr>
          <w:sz w:val="28"/>
          <w:szCs w:val="28"/>
        </w:rPr>
        <w:t xml:space="preserve"> от 27.07.2010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103 «Об  утверждении Правил оценки готовности к отопительному периоду»:</w:t>
      </w:r>
    </w:p>
    <w:p w:rsidR="00CA08D5" w:rsidRDefault="00CA08D5" w:rsidP="00CA0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CF704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проведения проверки готовно</w:t>
      </w:r>
      <w:r w:rsidR="00412447">
        <w:rPr>
          <w:sz w:val="28"/>
          <w:szCs w:val="28"/>
        </w:rPr>
        <w:t>сти к отопительному периоду 201</w:t>
      </w:r>
      <w:r w:rsidR="009F2BD4">
        <w:rPr>
          <w:sz w:val="28"/>
          <w:szCs w:val="28"/>
        </w:rPr>
        <w:t>7</w:t>
      </w:r>
      <w:r w:rsidR="00891A1C">
        <w:rPr>
          <w:sz w:val="28"/>
          <w:szCs w:val="28"/>
        </w:rPr>
        <w:t>-201</w:t>
      </w:r>
      <w:r w:rsidR="009F2BD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МО Путиловское сельское поселение</w:t>
      </w:r>
      <w:r w:rsidR="00412447">
        <w:rPr>
          <w:sz w:val="28"/>
          <w:szCs w:val="28"/>
        </w:rPr>
        <w:t xml:space="preserve">, </w:t>
      </w:r>
      <w:r w:rsidR="009A2768">
        <w:rPr>
          <w:sz w:val="28"/>
          <w:szCs w:val="28"/>
        </w:rPr>
        <w:t>согласно Приложению.</w:t>
      </w:r>
    </w:p>
    <w:p w:rsidR="00CA08D5" w:rsidRPr="005168EB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D5">
        <w:rPr>
          <w:sz w:val="28"/>
          <w:szCs w:val="28"/>
        </w:rPr>
        <w:t>. Комиссии</w:t>
      </w:r>
      <w:r>
        <w:rPr>
          <w:sz w:val="28"/>
          <w:szCs w:val="28"/>
        </w:rPr>
        <w:t>,</w:t>
      </w:r>
      <w:r w:rsidR="00CA08D5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постановлением</w:t>
      </w:r>
      <w:r w:rsidR="009F2BD4">
        <w:rPr>
          <w:sz w:val="28"/>
          <w:szCs w:val="28"/>
        </w:rPr>
        <w:t xml:space="preserve"> адм</w:t>
      </w:r>
      <w:r w:rsidR="00FE3B03">
        <w:rPr>
          <w:sz w:val="28"/>
          <w:szCs w:val="28"/>
        </w:rPr>
        <w:t>инистрации от 01.09.2017г. № 22</w:t>
      </w:r>
      <w:r w:rsidR="00FE3B03" w:rsidRPr="00FE3B03">
        <w:rPr>
          <w:sz w:val="28"/>
          <w:szCs w:val="28"/>
        </w:rPr>
        <w:t>1</w:t>
      </w:r>
      <w:r w:rsidR="009F2BD4">
        <w:rPr>
          <w:sz w:val="28"/>
          <w:szCs w:val="28"/>
        </w:rPr>
        <w:t>,</w:t>
      </w:r>
      <w:r w:rsidR="009342C7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>выполнить проверку  готовно</w:t>
      </w:r>
      <w:r w:rsidR="009F2BD4">
        <w:rPr>
          <w:sz w:val="28"/>
          <w:szCs w:val="28"/>
        </w:rPr>
        <w:t>сти к отопительному периоду 2017</w:t>
      </w:r>
      <w:r w:rsidR="009A2768">
        <w:rPr>
          <w:sz w:val="28"/>
          <w:szCs w:val="28"/>
        </w:rPr>
        <w:t>-201</w:t>
      </w:r>
      <w:r w:rsidR="009F2BD4">
        <w:rPr>
          <w:sz w:val="28"/>
          <w:szCs w:val="28"/>
        </w:rPr>
        <w:t>8</w:t>
      </w:r>
      <w:r w:rsidR="00CA08D5">
        <w:rPr>
          <w:sz w:val="28"/>
          <w:szCs w:val="28"/>
        </w:rPr>
        <w:t xml:space="preserve"> годов теплоснабжающих, </w:t>
      </w:r>
      <w:proofErr w:type="spellStart"/>
      <w:r w:rsidR="00CA08D5">
        <w:rPr>
          <w:sz w:val="28"/>
          <w:szCs w:val="28"/>
        </w:rPr>
        <w:t>теплосетевых</w:t>
      </w:r>
      <w:proofErr w:type="spellEnd"/>
      <w:r w:rsidR="00CA08D5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>
        <w:rPr>
          <w:sz w:val="28"/>
          <w:szCs w:val="28"/>
        </w:rPr>
        <w:t>МО Путиловское сельское поселение</w:t>
      </w:r>
      <w:r w:rsidR="00CA08D5">
        <w:rPr>
          <w:sz w:val="28"/>
          <w:szCs w:val="28"/>
        </w:rPr>
        <w:t xml:space="preserve">. </w:t>
      </w:r>
    </w:p>
    <w:p w:rsidR="00CA08D5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8D5" w:rsidRPr="00445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2768">
        <w:rPr>
          <w:sz w:val="28"/>
          <w:szCs w:val="28"/>
        </w:rPr>
        <w:t>Дедковой О.Н.</w:t>
      </w:r>
      <w:r>
        <w:rPr>
          <w:sz w:val="28"/>
          <w:szCs w:val="28"/>
        </w:rPr>
        <w:t xml:space="preserve"> направить н</w:t>
      </w:r>
      <w:r w:rsidR="00CA08D5" w:rsidRPr="0044588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 теплоснабжающей организации</w:t>
      </w:r>
      <w:r w:rsidRPr="00CF7046">
        <w:rPr>
          <w:sz w:val="28"/>
          <w:szCs w:val="28"/>
        </w:rPr>
        <w:t xml:space="preserve"> и потребител</w:t>
      </w:r>
      <w:r>
        <w:rPr>
          <w:sz w:val="28"/>
          <w:szCs w:val="28"/>
        </w:rPr>
        <w:t>ям</w:t>
      </w:r>
      <w:r w:rsidRPr="00CF7046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, расположенным на территории МО</w:t>
      </w:r>
      <w:r w:rsidR="009A2768">
        <w:rPr>
          <w:sz w:val="28"/>
          <w:szCs w:val="28"/>
        </w:rPr>
        <w:t xml:space="preserve"> Путиловское сельское поселение,</w:t>
      </w:r>
      <w:r>
        <w:rPr>
          <w:sz w:val="28"/>
          <w:szCs w:val="28"/>
        </w:rPr>
        <w:t xml:space="preserve"> разместить на официальном сайте МО Путиловское сельское поселение.  </w:t>
      </w:r>
    </w:p>
    <w:p w:rsidR="00CA08D5" w:rsidRDefault="00CF7046" w:rsidP="009F2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8D5">
        <w:rPr>
          <w:sz w:val="28"/>
          <w:szCs w:val="28"/>
        </w:rPr>
        <w:t xml:space="preserve"> </w:t>
      </w:r>
      <w:proofErr w:type="gramStart"/>
      <w:r w:rsidR="00CA08D5">
        <w:rPr>
          <w:sz w:val="28"/>
          <w:szCs w:val="28"/>
        </w:rPr>
        <w:t>Контроль за</w:t>
      </w:r>
      <w:proofErr w:type="gramEnd"/>
      <w:r w:rsidR="00CA08D5">
        <w:rPr>
          <w:sz w:val="28"/>
          <w:szCs w:val="28"/>
        </w:rPr>
        <w:t xml:space="preserve"> исполнением </w:t>
      </w:r>
      <w:r w:rsidR="009A2768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остановления </w:t>
      </w:r>
      <w:r w:rsidR="009A2768">
        <w:rPr>
          <w:sz w:val="28"/>
          <w:szCs w:val="28"/>
        </w:rPr>
        <w:t>оставляю за собой.</w:t>
      </w:r>
    </w:p>
    <w:p w:rsidR="009F2BD4" w:rsidRDefault="009A2768" w:rsidP="009F2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046">
        <w:rPr>
          <w:sz w:val="28"/>
          <w:szCs w:val="28"/>
        </w:rPr>
        <w:t xml:space="preserve"> администрации</w:t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CF7046">
        <w:rPr>
          <w:sz w:val="28"/>
          <w:szCs w:val="28"/>
        </w:rPr>
        <w:t xml:space="preserve">        </w:t>
      </w:r>
      <w:r w:rsidR="009F2BD4">
        <w:rPr>
          <w:sz w:val="28"/>
          <w:szCs w:val="28"/>
        </w:rPr>
        <w:t xml:space="preserve">В.И. Егорихин </w:t>
      </w:r>
    </w:p>
    <w:p w:rsidR="00CF7046" w:rsidRPr="009F2BD4" w:rsidRDefault="00CF7046" w:rsidP="009F2BD4">
      <w:pPr>
        <w:spacing w:line="360" w:lineRule="auto"/>
        <w:jc w:val="both"/>
        <w:rPr>
          <w:sz w:val="28"/>
          <w:szCs w:val="28"/>
        </w:rPr>
      </w:pPr>
      <w:r>
        <w:t>Разослано: дело, УКХ администрации КМР,</w:t>
      </w:r>
      <w:r w:rsidR="00AE5F3F">
        <w:t xml:space="preserve"> ООО «ПТЭСК», потребителям тепловой энергии.</w:t>
      </w:r>
    </w:p>
    <w:p w:rsidR="00425782" w:rsidRDefault="00CA08D5" w:rsidP="00CA08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365B">
        <w:rPr>
          <w:sz w:val="28"/>
          <w:szCs w:val="28"/>
        </w:rPr>
        <w:t xml:space="preserve"> </w:t>
      </w:r>
    </w:p>
    <w:p w:rsidR="00CA08D5" w:rsidRPr="00E054EB" w:rsidRDefault="00BB3A60" w:rsidP="00CA08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054EB">
        <w:rPr>
          <w:sz w:val="24"/>
          <w:szCs w:val="24"/>
        </w:rPr>
        <w:t xml:space="preserve">Приложение </w:t>
      </w:r>
    </w:p>
    <w:p w:rsidR="00E054EB" w:rsidRDefault="00E054E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412447">
        <w:rPr>
          <w:sz w:val="24"/>
          <w:szCs w:val="24"/>
        </w:rPr>
        <w:t>тверждено</w:t>
      </w:r>
      <w:r w:rsidR="00CA08D5" w:rsidRPr="00E054EB">
        <w:rPr>
          <w:sz w:val="24"/>
          <w:szCs w:val="24"/>
        </w:rPr>
        <w:t xml:space="preserve"> </w:t>
      </w:r>
    </w:p>
    <w:p w:rsidR="00CA08D5" w:rsidRPr="00E054EB" w:rsidRDefault="009A2768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A08D5" w:rsidRPr="00E054EB">
        <w:rPr>
          <w:sz w:val="24"/>
          <w:szCs w:val="24"/>
        </w:rPr>
        <w:t>остановлением</w:t>
      </w:r>
      <w:r w:rsidR="00E054EB">
        <w:rPr>
          <w:sz w:val="24"/>
          <w:szCs w:val="24"/>
        </w:rPr>
        <w:t xml:space="preserve"> </w:t>
      </w:r>
      <w:r w:rsidR="00CA08D5" w:rsidRPr="00E054EB">
        <w:rPr>
          <w:sz w:val="24"/>
          <w:szCs w:val="24"/>
        </w:rPr>
        <w:t xml:space="preserve"> администрации  </w:t>
      </w:r>
    </w:p>
    <w:p w:rsidR="00CA08D5" w:rsidRPr="00E054EB" w:rsidRDefault="00CA08D5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054EB">
        <w:rPr>
          <w:sz w:val="24"/>
          <w:szCs w:val="24"/>
        </w:rPr>
        <w:t xml:space="preserve">МО </w:t>
      </w:r>
      <w:r w:rsidR="002876BA" w:rsidRPr="00E054EB">
        <w:rPr>
          <w:sz w:val="24"/>
          <w:szCs w:val="24"/>
        </w:rPr>
        <w:t xml:space="preserve">Путиловское </w:t>
      </w:r>
      <w:r w:rsidRPr="00E054EB">
        <w:rPr>
          <w:sz w:val="24"/>
          <w:szCs w:val="24"/>
        </w:rPr>
        <w:t>сельское поселение</w:t>
      </w:r>
    </w:p>
    <w:p w:rsidR="00CA08D5" w:rsidRPr="00FE3B03" w:rsidRDefault="00412447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01 сентября </w:t>
      </w:r>
      <w:r w:rsidR="009A2768">
        <w:rPr>
          <w:sz w:val="24"/>
          <w:szCs w:val="24"/>
        </w:rPr>
        <w:t>201</w:t>
      </w:r>
      <w:r w:rsidR="00FE3B03">
        <w:rPr>
          <w:sz w:val="24"/>
          <w:szCs w:val="24"/>
        </w:rPr>
        <w:t>7 года № 22</w:t>
      </w:r>
      <w:r w:rsidR="00FE3B03">
        <w:rPr>
          <w:sz w:val="24"/>
          <w:szCs w:val="24"/>
          <w:lang w:val="en-US"/>
        </w:rPr>
        <w:t>5</w:t>
      </w:r>
      <w:bookmarkStart w:id="0" w:name="_GoBack"/>
      <w:bookmarkEnd w:id="0"/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>Программа</w:t>
      </w:r>
    </w:p>
    <w:p w:rsidR="00CA08D5" w:rsidRPr="0033164B" w:rsidRDefault="00CA08D5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A08D5" w:rsidRPr="0033164B" w:rsidRDefault="009F2BD4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9A276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CA08D5" w:rsidRPr="0033164B">
        <w:rPr>
          <w:b/>
          <w:sz w:val="28"/>
          <w:szCs w:val="28"/>
        </w:rPr>
        <w:t xml:space="preserve"> годов теплоснабжающих, </w:t>
      </w:r>
      <w:proofErr w:type="spellStart"/>
      <w:r w:rsidR="00CA08D5" w:rsidRPr="0033164B">
        <w:rPr>
          <w:b/>
          <w:sz w:val="28"/>
          <w:szCs w:val="28"/>
        </w:rPr>
        <w:t>теплосетевых</w:t>
      </w:r>
      <w:proofErr w:type="spellEnd"/>
      <w:r w:rsidR="00CA08D5" w:rsidRPr="0033164B">
        <w:rPr>
          <w:b/>
          <w:sz w:val="28"/>
          <w:szCs w:val="28"/>
        </w:rPr>
        <w:t xml:space="preserve"> организаций </w:t>
      </w:r>
    </w:p>
    <w:p w:rsidR="00CA08D5" w:rsidRPr="0033164B" w:rsidRDefault="00CA08D5" w:rsidP="002876B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33164B">
        <w:rPr>
          <w:b/>
          <w:sz w:val="28"/>
          <w:szCs w:val="28"/>
        </w:rPr>
        <w:t xml:space="preserve">и потребителей тепловой энергии, расположенных на территории </w:t>
      </w:r>
      <w:r w:rsidR="002876BA">
        <w:rPr>
          <w:b/>
          <w:sz w:val="28"/>
          <w:szCs w:val="28"/>
        </w:rPr>
        <w:t xml:space="preserve">МО Путиловское </w:t>
      </w:r>
      <w:r>
        <w:rPr>
          <w:b/>
          <w:sz w:val="28"/>
          <w:szCs w:val="28"/>
        </w:rPr>
        <w:t xml:space="preserve">сельское поселение 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Общие положения</w:t>
      </w:r>
    </w:p>
    <w:p w:rsidR="00CA08D5" w:rsidRPr="0033164B" w:rsidRDefault="00CA08D5" w:rsidP="00CA08D5">
      <w:pPr>
        <w:pStyle w:val="a5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Пров</w:t>
      </w:r>
      <w:r w:rsidR="009A2768">
        <w:rPr>
          <w:rFonts w:ascii="Times New Roman" w:hAnsi="Times New Roman"/>
          <w:sz w:val="28"/>
          <w:szCs w:val="28"/>
        </w:rPr>
        <w:t>ерка теплоснабжающих организаций</w:t>
      </w:r>
      <w:r w:rsidRPr="00331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 w:rsidR="009F2BD4">
        <w:rPr>
          <w:rFonts w:ascii="Times New Roman" w:hAnsi="Times New Roman"/>
          <w:sz w:val="28"/>
          <w:szCs w:val="28"/>
        </w:rPr>
        <w:t>сти к отопительному периоду 2017</w:t>
      </w:r>
      <w:r w:rsidR="009A2768">
        <w:rPr>
          <w:rFonts w:ascii="Times New Roman" w:hAnsi="Times New Roman"/>
          <w:sz w:val="28"/>
          <w:szCs w:val="28"/>
        </w:rPr>
        <w:t>-201</w:t>
      </w:r>
      <w:r w:rsidR="009F2BD4">
        <w:rPr>
          <w:rFonts w:ascii="Times New Roman" w:hAnsi="Times New Roman"/>
          <w:sz w:val="28"/>
          <w:szCs w:val="28"/>
        </w:rPr>
        <w:t>8</w:t>
      </w:r>
      <w:r w:rsidRPr="0033164B">
        <w:rPr>
          <w:rFonts w:ascii="Times New Roman" w:hAnsi="Times New Roman"/>
          <w:sz w:val="28"/>
          <w:szCs w:val="28"/>
        </w:rPr>
        <w:t xml:space="preserve"> годов теплоснабжающих,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2876BA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164B">
        <w:rPr>
          <w:rFonts w:ascii="Times New Roman" w:hAnsi="Times New Roman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установках</w:t>
      </w:r>
      <w:r w:rsidR="009A2768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либо для оказания коммунальных услуг в части горячего водоснабжения и отопления,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A08D5" w:rsidRPr="0033164B" w:rsidRDefault="00CA08D5" w:rsidP="00CA08D5">
      <w:pPr>
        <w:pStyle w:val="a5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A08D5" w:rsidRPr="0033164B" w:rsidRDefault="00CA08D5" w:rsidP="00CA08D5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Порядок проведения проверки</w:t>
      </w:r>
    </w:p>
    <w:p w:rsidR="00CA08D5" w:rsidRPr="0033164B" w:rsidRDefault="00CA08D5" w:rsidP="00CA08D5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1. Проверка теплоснабжающих организаций,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</w:t>
      </w:r>
      <w:r w:rsidR="009F2BD4">
        <w:rPr>
          <w:sz w:val="28"/>
          <w:szCs w:val="28"/>
        </w:rPr>
        <w:t>и  к  отопительному периоду 2017</w:t>
      </w:r>
      <w:r w:rsidR="009A2768">
        <w:rPr>
          <w:sz w:val="28"/>
          <w:szCs w:val="28"/>
        </w:rPr>
        <w:t>-201</w:t>
      </w:r>
      <w:r w:rsidR="009F2BD4">
        <w:rPr>
          <w:sz w:val="28"/>
          <w:szCs w:val="28"/>
        </w:rPr>
        <w:t>8</w:t>
      </w:r>
      <w:r w:rsidRPr="0033164B">
        <w:rPr>
          <w:sz w:val="28"/>
          <w:szCs w:val="28"/>
        </w:rPr>
        <w:t xml:space="preserve"> годов теплоснабжающих,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 тепловой  энергии, расположенных на территории  </w:t>
      </w:r>
      <w:r w:rsidR="002876BA">
        <w:rPr>
          <w:sz w:val="28"/>
          <w:szCs w:val="28"/>
        </w:rPr>
        <w:t>МО Путиловское сельское поселение</w:t>
      </w:r>
      <w:r w:rsidRPr="0033164B">
        <w:rPr>
          <w:b/>
          <w:sz w:val="28"/>
          <w:szCs w:val="28"/>
        </w:rPr>
        <w:t xml:space="preserve">  </w:t>
      </w:r>
      <w:r w:rsidRPr="0033164B">
        <w:rPr>
          <w:sz w:val="28"/>
          <w:szCs w:val="28"/>
        </w:rPr>
        <w:t>(далее</w:t>
      </w:r>
      <w:r w:rsidR="009A2768">
        <w:rPr>
          <w:sz w:val="28"/>
          <w:szCs w:val="28"/>
        </w:rPr>
        <w:t xml:space="preserve"> </w:t>
      </w:r>
      <w:r w:rsidR="002876BA">
        <w:rPr>
          <w:sz w:val="28"/>
          <w:szCs w:val="28"/>
        </w:rPr>
        <w:t xml:space="preserve">- </w:t>
      </w:r>
      <w:r w:rsidRPr="0033164B">
        <w:rPr>
          <w:sz w:val="28"/>
          <w:szCs w:val="28"/>
        </w:rPr>
        <w:t xml:space="preserve"> Комиссия).</w:t>
      </w:r>
    </w:p>
    <w:p w:rsidR="00CA08D5" w:rsidRPr="0033164B" w:rsidRDefault="00CA08D5" w:rsidP="00CA08D5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2. Работа Комиссии осуществляется в соответствии с графиком проведения проверки готов</w:t>
      </w:r>
      <w:r w:rsidR="006C2806">
        <w:rPr>
          <w:sz w:val="28"/>
          <w:szCs w:val="28"/>
        </w:rPr>
        <w:t>ности к отопительному периоду (Т</w:t>
      </w:r>
      <w:r w:rsidRPr="0033164B">
        <w:rPr>
          <w:sz w:val="28"/>
          <w:szCs w:val="28"/>
        </w:rPr>
        <w:t>аблица 1), в котором указываются: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349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5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1843"/>
        <w:gridCol w:w="1559"/>
        <w:gridCol w:w="1985"/>
      </w:tblGrid>
      <w:tr w:rsidR="0037129E" w:rsidRPr="0033164B" w:rsidTr="000806A8">
        <w:trPr>
          <w:trHeight w:val="1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 выдачи 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6501A5" w:rsidRPr="0033164B" w:rsidTr="000806A8">
        <w:trPr>
          <w:trHeight w:val="2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Потребители тепловой энергии: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  <w:r>
              <w:rPr>
                <w:rFonts w:ascii="Times New Roman" w:hAnsi="Times New Roman"/>
                <w:sz w:val="24"/>
                <w:szCs w:val="24"/>
              </w:rPr>
              <w:t>, с. Путилово, ул. Дорофеева, д.5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МКОУ «Путиловская ООШ»</w:t>
            </w:r>
            <w:r>
              <w:rPr>
                <w:rFonts w:ascii="Times New Roman" w:hAnsi="Times New Roman"/>
                <w:sz w:val="24"/>
                <w:szCs w:val="24"/>
              </w:rPr>
              <w:t>,  с. Путилово, ул. Дорофеева, д.7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МКДОУ «Детский сад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Путилово, 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д.9а</w:t>
            </w:r>
            <w:r w:rsidR="00650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Здание администрации МО Путиловское сельское поселение, с. Путилово, ул. Братьев Пожарских, д.2</w:t>
            </w:r>
          </w:p>
          <w:p w:rsidR="006501A5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МУП «Путилово ЖКХ» в отношении многоквартирных жилых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0A541A" w:rsidRDefault="009F2BD4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д.10;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д.15а;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д.16;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</w:t>
            </w:r>
            <w:r w:rsidR="000A541A">
              <w:rPr>
                <w:rFonts w:ascii="Times New Roman" w:hAnsi="Times New Roman"/>
                <w:sz w:val="24"/>
                <w:szCs w:val="24"/>
              </w:rPr>
              <w:lastRenderedPageBreak/>
              <w:t>Пожарских, д.17;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д.18;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д.23;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10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д.24;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</w:t>
            </w:r>
            <w:r>
              <w:rPr>
                <w:rFonts w:ascii="Times New Roman" w:hAnsi="Times New Roman"/>
                <w:sz w:val="24"/>
                <w:szCs w:val="24"/>
              </w:rPr>
              <w:t>ово, ул. Братьев Пожарских, д.27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</w:t>
            </w:r>
            <w:r>
              <w:rPr>
                <w:rFonts w:ascii="Times New Roman" w:hAnsi="Times New Roman"/>
                <w:sz w:val="24"/>
                <w:szCs w:val="24"/>
              </w:rPr>
              <w:t>ово, ул. Братьев Пожарских, д.29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Путилово, ул. Братьев Пожарских, д.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д.5;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д.7;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д.3;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01A5" w:rsidRPr="00425782" w:rsidRDefault="006501A5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3E12CD" w:rsidRDefault="00412447" w:rsidP="0041244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05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.201</w:t>
            </w:r>
            <w:r w:rsidR="009F2BD4">
              <w:rPr>
                <w:rFonts w:ascii="Times New Roman" w:hAnsi="Times New Roman"/>
                <w:sz w:val="24"/>
                <w:szCs w:val="24"/>
              </w:rPr>
              <w:t>7г. по 08.09.2017</w:t>
            </w:r>
            <w:r w:rsidR="006501A5" w:rsidRPr="003E12C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9F2BD4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4 Программы</w:t>
            </w:r>
          </w:p>
        </w:tc>
      </w:tr>
      <w:tr w:rsidR="0037129E" w:rsidRPr="0033164B" w:rsidTr="000806A8">
        <w:trPr>
          <w:trHeight w:val="1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37129E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129E">
              <w:rPr>
                <w:rFonts w:ascii="Times New Roman" w:hAnsi="Times New Roman"/>
                <w:sz w:val="24"/>
                <w:szCs w:val="24"/>
              </w:rPr>
              <w:t>азовая котельная с. Путилово и ее тепловая сеть.</w:t>
            </w:r>
          </w:p>
          <w:p w:rsidR="0037129E" w:rsidRPr="00425782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7129E">
              <w:rPr>
                <w:rFonts w:ascii="Times New Roman" w:hAnsi="Times New Roman"/>
                <w:sz w:val="24"/>
                <w:szCs w:val="24"/>
              </w:rPr>
              <w:t>гольная котельная д. Валовщина и ее тепловая сеть.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3E12CD" w:rsidRDefault="000806A8" w:rsidP="006D1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1F3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D1D01">
              <w:rPr>
                <w:rFonts w:ascii="Times New Roman" w:hAnsi="Times New Roman"/>
                <w:sz w:val="24"/>
                <w:szCs w:val="24"/>
              </w:rPr>
              <w:t>2</w:t>
            </w:r>
            <w:r w:rsidR="00CB1F38">
              <w:rPr>
                <w:rFonts w:ascii="Times New Roman" w:hAnsi="Times New Roman"/>
                <w:sz w:val="24"/>
                <w:szCs w:val="24"/>
              </w:rPr>
              <w:t>.10</w:t>
            </w:r>
            <w:r w:rsidR="006D1D01">
              <w:rPr>
                <w:rFonts w:ascii="Times New Roman" w:hAnsi="Times New Roman"/>
                <w:sz w:val="24"/>
                <w:szCs w:val="24"/>
              </w:rPr>
              <w:t>.2016г. по 13</w:t>
            </w:r>
            <w:r w:rsidR="00412447">
              <w:rPr>
                <w:rFonts w:ascii="Times New Roman" w:hAnsi="Times New Roman"/>
                <w:sz w:val="24"/>
                <w:szCs w:val="24"/>
              </w:rPr>
              <w:t>.10.2016</w:t>
            </w:r>
            <w:r w:rsidR="0037129E" w:rsidRPr="003E12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412447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129E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3 Программы</w:t>
            </w:r>
          </w:p>
        </w:tc>
      </w:tr>
    </w:tbl>
    <w:p w:rsidR="00CA08D5" w:rsidRPr="0033164B" w:rsidRDefault="00CA08D5" w:rsidP="00CA08D5">
      <w:pPr>
        <w:pStyle w:val="a5"/>
        <w:ind w:left="349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</w:t>
      </w:r>
      <w:r w:rsidR="006D1D01">
        <w:rPr>
          <w:rFonts w:ascii="Times New Roman" w:hAnsi="Times New Roman"/>
          <w:sz w:val="28"/>
          <w:szCs w:val="28"/>
        </w:rPr>
        <w:t>7</w:t>
      </w:r>
      <w:r w:rsidRPr="0033164B">
        <w:rPr>
          <w:rFonts w:ascii="Times New Roman" w:hAnsi="Times New Roman"/>
          <w:sz w:val="28"/>
          <w:szCs w:val="28"/>
        </w:rPr>
        <w:t xml:space="preserve"> – 201</w:t>
      </w:r>
      <w:r w:rsidR="006D1D01">
        <w:rPr>
          <w:rFonts w:ascii="Times New Roman" w:hAnsi="Times New Roman"/>
          <w:sz w:val="28"/>
          <w:szCs w:val="28"/>
        </w:rPr>
        <w:t>8</w:t>
      </w:r>
      <w:r w:rsidRPr="0033164B">
        <w:rPr>
          <w:rFonts w:ascii="Times New Roman" w:hAnsi="Times New Roman"/>
          <w:sz w:val="28"/>
          <w:szCs w:val="28"/>
        </w:rPr>
        <w:t xml:space="preserve"> годов (далее – Программа).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</w:t>
      </w:r>
      <w:r w:rsidR="006C2806">
        <w:rPr>
          <w:rFonts w:ascii="Times New Roman" w:hAnsi="Times New Roman"/>
          <w:sz w:val="28"/>
          <w:szCs w:val="28"/>
        </w:rPr>
        <w:t>тва энергетики РФ от 12.03.2013</w:t>
      </w:r>
      <w:r w:rsidRPr="0033164B">
        <w:rPr>
          <w:rFonts w:ascii="Times New Roman" w:hAnsi="Times New Roman"/>
          <w:sz w:val="28"/>
          <w:szCs w:val="28"/>
        </w:rPr>
        <w:t>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</w:t>
      </w:r>
      <w:r w:rsidRPr="0033164B">
        <w:rPr>
          <w:rFonts w:ascii="Times New Roman" w:hAnsi="Times New Roman"/>
          <w:sz w:val="28"/>
          <w:szCs w:val="28"/>
        </w:rPr>
        <w:lastRenderedPageBreak/>
        <w:t xml:space="preserve">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tabs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це</w:t>
      </w:r>
      <w:r w:rsidR="006C2806">
        <w:rPr>
          <w:rFonts w:ascii="Times New Roman" w:hAnsi="Times New Roman"/>
          <w:sz w:val="28"/>
          <w:szCs w:val="28"/>
        </w:rPr>
        <w:t>лях проведения проверки К</w:t>
      </w:r>
      <w:r w:rsidR="00BB3A60">
        <w:rPr>
          <w:rFonts w:ascii="Times New Roman" w:hAnsi="Times New Roman"/>
          <w:sz w:val="28"/>
          <w:szCs w:val="28"/>
        </w:rPr>
        <w:t>омиссия рассматривае</w:t>
      </w:r>
      <w:r w:rsidRPr="0033164B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а</w:t>
      </w:r>
      <w:r w:rsidRPr="0033164B">
        <w:rPr>
          <w:rFonts w:ascii="Times New Roman" w:hAnsi="Times New Roman"/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33164B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33164B">
        <w:rPr>
          <w:rFonts w:ascii="Times New Roman" w:hAnsi="Times New Roman"/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A08D5" w:rsidRPr="0033164B">
        <w:rPr>
          <w:rFonts w:ascii="Times New Roman" w:hAnsi="Times New Roman"/>
          <w:sz w:val="28"/>
          <w:szCs w:val="28"/>
        </w:rPr>
        <w:t>кте содержатся следующие выводы комиссии по итогам проверки: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объект проверки будет готов </w:t>
      </w:r>
      <w:proofErr w:type="gramStart"/>
      <w:r w:rsidRPr="0033164B">
        <w:rPr>
          <w:rFonts w:ascii="Times New Roman" w:hAnsi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3164B">
        <w:rPr>
          <w:rFonts w:ascii="Times New Roman" w:hAnsi="Times New Roman"/>
          <w:sz w:val="28"/>
          <w:szCs w:val="28"/>
        </w:rPr>
        <w:t>, выданных комиссией;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К</w:t>
      </w:r>
      <w:r w:rsidR="00CA08D5" w:rsidRPr="0033164B">
        <w:rPr>
          <w:rFonts w:ascii="Times New Roman" w:hAnsi="Times New Roman"/>
          <w:sz w:val="28"/>
          <w:szCs w:val="28"/>
        </w:rPr>
        <w:t>омиссии замечаний к выполнению требований по готовности или при невыполнени</w:t>
      </w:r>
      <w:r>
        <w:rPr>
          <w:rFonts w:ascii="Times New Roman" w:hAnsi="Times New Roman"/>
          <w:sz w:val="28"/>
          <w:szCs w:val="28"/>
        </w:rPr>
        <w:t>и требований по готовности, к а</w:t>
      </w:r>
      <w:r w:rsidR="00CA08D5" w:rsidRPr="0033164B">
        <w:rPr>
          <w:rFonts w:ascii="Times New Roman" w:hAnsi="Times New Roman"/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64B">
        <w:rPr>
          <w:rFonts w:ascii="Times New Roman" w:hAnsi="Times New Roman"/>
          <w:sz w:val="28"/>
          <w:szCs w:val="28"/>
        </w:rPr>
        <w:t xml:space="preserve">Паспорт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П</w:t>
      </w:r>
      <w:r w:rsidRPr="0033164B">
        <w:rPr>
          <w:rFonts w:ascii="Times New Roman" w:hAnsi="Times New Roman"/>
          <w:sz w:val="28"/>
          <w:szCs w:val="28"/>
        </w:rPr>
        <w:t>аспорт) составляется по рекомендуемому образцу согласно Приложению № 2 к настоящей Программе и выдается уполно</w:t>
      </w:r>
      <w:r w:rsidR="006C2806">
        <w:rPr>
          <w:rFonts w:ascii="Times New Roman" w:hAnsi="Times New Roman"/>
          <w:sz w:val="28"/>
          <w:szCs w:val="28"/>
        </w:rPr>
        <w:t>моченным органом, образовавшим К</w:t>
      </w:r>
      <w:r w:rsidRPr="0033164B">
        <w:rPr>
          <w:rFonts w:ascii="Times New Roman" w:hAnsi="Times New Roman"/>
          <w:sz w:val="28"/>
          <w:szCs w:val="28"/>
        </w:rPr>
        <w:t>омиссию, в теч</w:t>
      </w:r>
      <w:r w:rsidR="006C2806">
        <w:rPr>
          <w:rFonts w:ascii="Times New Roman" w:hAnsi="Times New Roman"/>
          <w:sz w:val="28"/>
          <w:szCs w:val="28"/>
        </w:rPr>
        <w:t>ение 15 дней с даты подписания А</w:t>
      </w:r>
      <w:r w:rsidRPr="0033164B">
        <w:rPr>
          <w:rFonts w:ascii="Times New Roman" w:hAnsi="Times New Roman"/>
          <w:sz w:val="28"/>
          <w:szCs w:val="28"/>
        </w:rPr>
        <w:t>кта</w:t>
      </w:r>
      <w:r w:rsidR="006C2806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</w:t>
      </w:r>
      <w:r w:rsidR="006C2806">
        <w:rPr>
          <w:rFonts w:ascii="Times New Roman" w:hAnsi="Times New Roman"/>
          <w:sz w:val="28"/>
          <w:szCs w:val="28"/>
        </w:rPr>
        <w:t>ности в сроки, установленные в Т</w:t>
      </w:r>
      <w:r w:rsidRPr="0033164B">
        <w:rPr>
          <w:rFonts w:ascii="Times New Roman" w:hAnsi="Times New Roman"/>
          <w:sz w:val="28"/>
          <w:szCs w:val="28"/>
        </w:rPr>
        <w:t>аблице 1 настоящей Программы, комиссией проводится повторная проверка, по результатам которой составляется новый акт.</w:t>
      </w:r>
    </w:p>
    <w:p w:rsidR="00CA08D5" w:rsidRPr="0033164B" w:rsidRDefault="00CA08D5" w:rsidP="00CA08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Организация, не п</w:t>
      </w:r>
      <w:r w:rsidR="005108D9">
        <w:rPr>
          <w:rFonts w:ascii="Times New Roman" w:hAnsi="Times New Roman"/>
          <w:sz w:val="28"/>
          <w:szCs w:val="28"/>
        </w:rPr>
        <w:t>олучившая по объектам проверки П</w:t>
      </w:r>
      <w:r w:rsidRPr="0033164B">
        <w:rPr>
          <w:rFonts w:ascii="Times New Roman" w:hAnsi="Times New Roman"/>
          <w:sz w:val="28"/>
          <w:szCs w:val="28"/>
        </w:rPr>
        <w:t>аспорт готов</w:t>
      </w:r>
      <w:r w:rsidR="006C2806">
        <w:rPr>
          <w:rFonts w:ascii="Times New Roman" w:hAnsi="Times New Roman"/>
          <w:sz w:val="28"/>
          <w:szCs w:val="28"/>
        </w:rPr>
        <w:t>ности до даты, установленной в Т</w:t>
      </w:r>
      <w:r w:rsidRPr="0033164B">
        <w:rPr>
          <w:rFonts w:ascii="Times New Roman" w:hAnsi="Times New Roman"/>
          <w:sz w:val="28"/>
          <w:szCs w:val="28"/>
        </w:rPr>
        <w:t>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 w:rsidR="005108D9">
        <w:rPr>
          <w:rFonts w:ascii="Times New Roman" w:hAnsi="Times New Roman"/>
          <w:sz w:val="28"/>
          <w:szCs w:val="28"/>
        </w:rPr>
        <w:t xml:space="preserve"> готовности. После уведомления К</w:t>
      </w:r>
      <w:r w:rsidRPr="0033164B">
        <w:rPr>
          <w:rFonts w:ascii="Times New Roman" w:hAnsi="Times New Roman"/>
          <w:sz w:val="28"/>
          <w:szCs w:val="28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 w:rsidR="006C2806">
        <w:rPr>
          <w:rFonts w:ascii="Times New Roman" w:hAnsi="Times New Roman"/>
          <w:sz w:val="28"/>
          <w:szCs w:val="28"/>
        </w:rPr>
        <w:t>. При положительном заключении Комиссией</w:t>
      </w:r>
      <w:r w:rsidRPr="0033164B">
        <w:rPr>
          <w:rFonts w:ascii="Times New Roman" w:hAnsi="Times New Roman"/>
          <w:sz w:val="28"/>
          <w:szCs w:val="28"/>
        </w:rPr>
        <w:t xml:space="preserve"> оформляется повторный акт с выводом о готовности к отопит</w:t>
      </w:r>
      <w:r w:rsidR="005108D9">
        <w:rPr>
          <w:rFonts w:ascii="Times New Roman" w:hAnsi="Times New Roman"/>
          <w:sz w:val="28"/>
          <w:szCs w:val="28"/>
        </w:rPr>
        <w:t>ельному периоду, но без выдачи П</w:t>
      </w:r>
      <w:r w:rsidRPr="0033164B">
        <w:rPr>
          <w:rFonts w:ascii="Times New Roman" w:hAnsi="Times New Roman"/>
          <w:sz w:val="28"/>
          <w:szCs w:val="28"/>
        </w:rPr>
        <w:t>аспорта в текущий отопительный период.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 xml:space="preserve">Порядок взаимодействия теплоснабжающих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 xml:space="preserve">4.1.Теплоснабжающие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организации предст</w:t>
      </w:r>
      <w:r>
        <w:rPr>
          <w:rFonts w:ascii="Times New Roman" w:hAnsi="Times New Roman"/>
          <w:sz w:val="28"/>
          <w:szCs w:val="28"/>
        </w:rPr>
        <w:t xml:space="preserve">авляют в  администрацию МО </w:t>
      </w:r>
      <w:r w:rsidR="00BB3A60">
        <w:rPr>
          <w:rFonts w:ascii="Times New Roman" w:hAnsi="Times New Roman"/>
          <w:sz w:val="28"/>
          <w:szCs w:val="28"/>
        </w:rPr>
        <w:t>Путиловское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3164B">
        <w:rPr>
          <w:rFonts w:ascii="Times New Roman" w:hAnsi="Times New Roman"/>
          <w:sz w:val="28"/>
          <w:szCs w:val="28"/>
        </w:rPr>
        <w:t xml:space="preserve">  информацию по выполнению требований по готовности, указанных в Приложении </w:t>
      </w:r>
      <w:r w:rsidR="00E054EB">
        <w:rPr>
          <w:rFonts w:ascii="Times New Roman" w:hAnsi="Times New Roman"/>
          <w:sz w:val="28"/>
          <w:szCs w:val="28"/>
        </w:rPr>
        <w:t>3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80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>4.2.Потребители тепловой энергии предс</w:t>
      </w:r>
      <w:r w:rsidR="005108D9">
        <w:rPr>
          <w:rFonts w:ascii="Times New Roman" w:hAnsi="Times New Roman"/>
          <w:sz w:val="28"/>
          <w:szCs w:val="28"/>
        </w:rPr>
        <w:t>тавляют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B3A60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="00BB3A60" w:rsidRPr="0033164B">
        <w:rPr>
          <w:rFonts w:ascii="Times New Roman" w:hAnsi="Times New Roman"/>
          <w:sz w:val="28"/>
          <w:szCs w:val="28"/>
        </w:rPr>
        <w:t xml:space="preserve">  </w:t>
      </w:r>
      <w:r w:rsidRPr="0033164B">
        <w:rPr>
          <w:rFonts w:ascii="Times New Roman" w:hAnsi="Times New Roman"/>
          <w:sz w:val="28"/>
          <w:szCs w:val="28"/>
        </w:rPr>
        <w:t>информацию по выполнению требований по готовности</w:t>
      </w:r>
      <w:r w:rsidR="00E054EB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указанных в Приложении </w:t>
      </w:r>
      <w:r w:rsidR="00E054EB">
        <w:rPr>
          <w:rFonts w:ascii="Times New Roman" w:hAnsi="Times New Roman"/>
          <w:sz w:val="28"/>
          <w:szCs w:val="28"/>
        </w:rPr>
        <w:t>4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BB3A60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</w:t>
      </w:r>
    </w:p>
    <w:p w:rsidR="003E12CD" w:rsidRDefault="003E12C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12CD">
        <w:rPr>
          <w:rFonts w:ascii="Times New Roman" w:hAnsi="Times New Roman"/>
          <w:sz w:val="24"/>
          <w:szCs w:val="24"/>
        </w:rPr>
        <w:t xml:space="preserve"> к</w:t>
      </w:r>
      <w:r w:rsidR="005108D9">
        <w:rPr>
          <w:rFonts w:ascii="Times New Roman" w:hAnsi="Times New Roman"/>
          <w:sz w:val="24"/>
          <w:szCs w:val="24"/>
        </w:rPr>
        <w:t xml:space="preserve"> П</w:t>
      </w:r>
      <w:r w:rsidR="00E054EB">
        <w:rPr>
          <w:rFonts w:ascii="Times New Roman" w:hAnsi="Times New Roman"/>
          <w:sz w:val="24"/>
          <w:szCs w:val="24"/>
        </w:rPr>
        <w:t>рограмме</w:t>
      </w:r>
      <w:r w:rsidRPr="00E054EB">
        <w:rPr>
          <w:rFonts w:ascii="Times New Roman" w:hAnsi="Times New Roman"/>
          <w:sz w:val="24"/>
          <w:szCs w:val="24"/>
        </w:rPr>
        <w:t xml:space="preserve"> проведения проверки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5AE7" w:rsidRDefault="00CA5AE7" w:rsidP="00CA5A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CA5AE7" w:rsidTr="003D7CE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CA5AE7" w:rsidRDefault="00CA5AE7" w:rsidP="00CA5AE7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AE7" w:rsidTr="003D7CE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A5AE7" w:rsidTr="003D7CE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CA5AE7" w:rsidRDefault="00CA5AE7" w:rsidP="00CA5AE7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CA5AE7" w:rsidRDefault="00CA5AE7" w:rsidP="00CA5AE7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CA5AE7" w:rsidRDefault="00CA5AE7" w:rsidP="003E12CD">
      <w:pPr>
        <w:jc w:val="both"/>
        <w:rPr>
          <w:sz w:val="2"/>
          <w:szCs w:val="2"/>
        </w:rPr>
      </w:pPr>
      <w:r>
        <w:rPr>
          <w:sz w:val="24"/>
          <w:szCs w:val="24"/>
        </w:rPr>
        <w:t>Федеральным законом от 27 июля 2010 г. № 190-ФЗ “О теплоснабжении” провела проверку гото</w:t>
      </w:r>
      <w:r w:rsidR="003E12CD">
        <w:rPr>
          <w:sz w:val="24"/>
          <w:szCs w:val="24"/>
        </w:rPr>
        <w:t>вности к отопительному периоду _____________________________________</w:t>
      </w: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AE7" w:rsidRDefault="00CA5AE7" w:rsidP="00CA5AE7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A5AE7" w:rsidRDefault="00CA5AE7" w:rsidP="00CA5AE7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A5AE7" w:rsidRDefault="00CA5AE7" w:rsidP="00CA5AE7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CA5AE7" w:rsidRDefault="00CA5AE7" w:rsidP="00CA5AE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A5AE7" w:rsidTr="003D7CEA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CA5AE7" w:rsidRDefault="00CA5AE7" w:rsidP="00CA5AE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5611F2" w:rsidTr="007548AF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5611F2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5611F2" w:rsidTr="008C1322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5611F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5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5AE7" w:rsidRDefault="00CA5AE7" w:rsidP="00CA5AE7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11F2">
        <w:rPr>
          <w:rFonts w:ascii="Times New Roman" w:hAnsi="Times New Roman"/>
          <w:sz w:val="24"/>
          <w:szCs w:val="24"/>
        </w:rPr>
        <w:t>Приложение № 2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108D9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611F2" w:rsidRDefault="005611F2" w:rsidP="005611F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5611F2" w:rsidTr="003D7CEA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5611F2" w:rsidRDefault="005611F2" w:rsidP="005611F2">
      <w:pPr>
        <w:tabs>
          <w:tab w:val="right" w:pos="9923"/>
        </w:tabs>
        <w:spacing w:before="9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5611F2" w:rsidRDefault="005611F2" w:rsidP="005611F2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611F2" w:rsidRDefault="005611F2" w:rsidP="005611F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611F2" w:rsidRDefault="005611F2" w:rsidP="005611F2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611F2" w:rsidRDefault="005611F2" w:rsidP="005611F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выдачи паспорта готовности к отопительному периоду:</w:t>
      </w:r>
    </w:p>
    <w:p w:rsidR="005611F2" w:rsidRDefault="005611F2" w:rsidP="005611F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5611F2" w:rsidTr="003D7CE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готовности к отопительному периоду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1F2" w:rsidRDefault="005611F2" w:rsidP="005611F2">
      <w:pPr>
        <w:tabs>
          <w:tab w:val="left" w:pos="6521"/>
        </w:tabs>
        <w:spacing w:before="960"/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1F2" w:rsidRDefault="005611F2" w:rsidP="005611F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3164B">
        <w:rPr>
          <w:rFonts w:ascii="Times New Roman" w:hAnsi="Times New Roman"/>
          <w:sz w:val="28"/>
          <w:szCs w:val="28"/>
        </w:rPr>
        <w:t xml:space="preserve">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</w:t>
      </w:r>
      <w:r w:rsidR="005108D9">
        <w:rPr>
          <w:rFonts w:ascii="Times New Roman" w:hAnsi="Times New Roman"/>
          <w:sz w:val="24"/>
          <w:szCs w:val="24"/>
        </w:rPr>
        <w:t>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 xml:space="preserve">для теплоснабжающих и </w:t>
      </w:r>
      <w:proofErr w:type="spellStart"/>
      <w:r w:rsidRPr="005611F2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5611F2">
        <w:rPr>
          <w:rFonts w:ascii="Times New Roman" w:hAnsi="Times New Roman"/>
          <w:b/>
          <w:sz w:val="28"/>
          <w:szCs w:val="28"/>
        </w:rPr>
        <w:t xml:space="preserve"> организаций</w:t>
      </w:r>
    </w:p>
    <w:p w:rsidR="00CA08D5" w:rsidRPr="0033164B" w:rsidRDefault="00CA08D5" w:rsidP="005108D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907592">
        <w:rPr>
          <w:sz w:val="28"/>
          <w:szCs w:val="28"/>
        </w:rPr>
        <w:t xml:space="preserve">1) наличие соглашения об управлении системой теплоснабжения, </w:t>
      </w:r>
      <w:r w:rsidRPr="00412447">
        <w:rPr>
          <w:sz w:val="28"/>
          <w:szCs w:val="28"/>
        </w:rPr>
        <w:t>заключенного в порядке, установленном Законом о теплоснабжении;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укомплектованность указанных служб персоналом;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</w:t>
      </w:r>
      <w:r w:rsidRPr="0033164B">
        <w:rPr>
          <w:sz w:val="28"/>
          <w:szCs w:val="28"/>
        </w:rPr>
        <w:t xml:space="preserve">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6) проведение наладки принадлежащих им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 w:rsidRPr="00412447">
        <w:rPr>
          <w:sz w:val="28"/>
          <w:szCs w:val="28"/>
        </w:rPr>
        <w:t>7) организация контроля режимов потребления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8) обеспечение качества теплоносителей;</w:t>
      </w:r>
    </w:p>
    <w:p w:rsidR="00CA08D5" w:rsidRPr="0033164B" w:rsidRDefault="005108D9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 w:rsidRPr="00412447">
        <w:rPr>
          <w:sz w:val="28"/>
          <w:szCs w:val="28"/>
        </w:rPr>
        <w:t xml:space="preserve">9) </w:t>
      </w:r>
      <w:r w:rsidR="00CA08D5" w:rsidRPr="00412447"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 w:rsidRPr="0033164B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5108D9">
        <w:rPr>
          <w:sz w:val="28"/>
          <w:szCs w:val="28"/>
        </w:rPr>
        <w:t xml:space="preserve">с </w:t>
      </w:r>
      <w:r w:rsidRPr="0033164B">
        <w:rPr>
          <w:sz w:val="28"/>
          <w:szCs w:val="28"/>
        </w:rPr>
        <w:t>Законом о теплоснабжении;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3164B">
        <w:rPr>
          <w:sz w:val="28"/>
          <w:szCs w:val="28"/>
        </w:rPr>
        <w:t>топливоприготовления</w:t>
      </w:r>
      <w:proofErr w:type="spellEnd"/>
      <w:r w:rsidRPr="0033164B">
        <w:rPr>
          <w:sz w:val="28"/>
          <w:szCs w:val="28"/>
        </w:rPr>
        <w:t xml:space="preserve"> и топливоподачи;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соблюдение водно-химического режима;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 xml:space="preserve">наличие </w:t>
      </w:r>
      <w:proofErr w:type="gramStart"/>
      <w:r w:rsidRPr="00412447">
        <w:rPr>
          <w:sz w:val="28"/>
          <w:szCs w:val="28"/>
        </w:rPr>
        <w:t xml:space="preserve">расчетов допустимого времени устранения аварийных </w:t>
      </w:r>
      <w:r w:rsidRPr="00412447">
        <w:rPr>
          <w:sz w:val="28"/>
          <w:szCs w:val="28"/>
        </w:rPr>
        <w:lastRenderedPageBreak/>
        <w:t>нарушений теплоснабжения жилых домов</w:t>
      </w:r>
      <w:proofErr w:type="gramEnd"/>
      <w:r w:rsidRPr="00412447">
        <w:rPr>
          <w:sz w:val="28"/>
          <w:szCs w:val="28"/>
        </w:rPr>
        <w:t>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12447">
        <w:rPr>
          <w:sz w:val="28"/>
          <w:szCs w:val="28"/>
        </w:rPr>
        <w:t>о-</w:t>
      </w:r>
      <w:proofErr w:type="gramEnd"/>
      <w:r w:rsidRPr="00412447">
        <w:rPr>
          <w:sz w:val="28"/>
          <w:szCs w:val="28"/>
        </w:rPr>
        <w:t>, электро</w:t>
      </w:r>
      <w:r w:rsidRPr="00676B52">
        <w:rPr>
          <w:sz w:val="28"/>
          <w:szCs w:val="28"/>
        </w:rPr>
        <w:t xml:space="preserve">-, топливо- и </w:t>
      </w:r>
      <w:proofErr w:type="spellStart"/>
      <w:r w:rsidRPr="00676B52">
        <w:rPr>
          <w:sz w:val="28"/>
          <w:szCs w:val="28"/>
        </w:rPr>
        <w:t>водоснабжающих</w:t>
      </w:r>
      <w:proofErr w:type="spellEnd"/>
      <w:r w:rsidRPr="00676B5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проведение гидравлических и тепловых испытаний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12447">
        <w:rPr>
          <w:sz w:val="28"/>
          <w:szCs w:val="28"/>
        </w:rPr>
        <w:t>теплосетевыми</w:t>
      </w:r>
      <w:proofErr w:type="spellEnd"/>
      <w:r w:rsidRPr="00412447">
        <w:rPr>
          <w:sz w:val="28"/>
          <w:szCs w:val="28"/>
        </w:rPr>
        <w:t xml:space="preserve"> организациями;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14) работоспособность автоматических регуляторов при их наличии.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 отношении объектов по производству тепловой и электрической</w:t>
      </w:r>
      <w:r w:rsidRPr="0033164B">
        <w:rPr>
          <w:sz w:val="28"/>
          <w:szCs w:val="28"/>
        </w:rPr>
        <w:t xml:space="preserve">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составляется а</w:t>
      </w:r>
      <w:proofErr w:type="gramStart"/>
      <w:r w:rsidRPr="0033164B">
        <w:rPr>
          <w:sz w:val="28"/>
          <w:szCs w:val="28"/>
        </w:rPr>
        <w:t>кт с пр</w:t>
      </w:r>
      <w:proofErr w:type="gramEnd"/>
      <w:r w:rsidRPr="0033164B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101A1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A08D5" w:rsidRPr="0033164B" w:rsidRDefault="00CA08D5" w:rsidP="00CA08D5">
      <w:pPr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A08D5" w:rsidRPr="0033164B" w:rsidRDefault="005611F2" w:rsidP="00CA08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D5" w:rsidRPr="0033164B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CA08D5" w:rsidRPr="0033164B">
        <w:rPr>
          <w:sz w:val="28"/>
          <w:szCs w:val="28"/>
        </w:rPr>
        <w:t>теплопотребляющих</w:t>
      </w:r>
      <w:proofErr w:type="spellEnd"/>
      <w:r w:rsidR="00CA08D5"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4) выполнение плана ремонтных работ и качество их выполнения;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9) работоспособность защиты систем теплопотребления;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10) наличие паспортов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12) плотность оборудования тепловых пунктов;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13) наличие пломб на расчетных шайбах и соплах элеваторов;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proofErr w:type="gramStart"/>
      <w:r w:rsidRPr="0033164B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 на плотность и прочность;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CA08D5" w:rsidRPr="0033164B" w:rsidRDefault="00CA08D5" w:rsidP="00CA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3164B">
        <w:rPr>
          <w:sz w:val="28"/>
          <w:szCs w:val="28"/>
        </w:rPr>
        <w:t>кт с пр</w:t>
      </w:r>
      <w:proofErr w:type="gramEnd"/>
      <w:r w:rsidRPr="0033164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8101A1">
        <w:rPr>
          <w:sz w:val="28"/>
          <w:szCs w:val="28"/>
        </w:rPr>
        <w:t xml:space="preserve">в </w:t>
      </w:r>
      <w:hyperlink r:id="rId9" w:anchor="sub_30022" w:history="1">
        <w:r w:rsidRPr="008101A1">
          <w:rPr>
            <w:rStyle w:val="a6"/>
            <w:color w:val="auto"/>
            <w:sz w:val="28"/>
            <w:szCs w:val="28"/>
            <w:u w:val="none"/>
          </w:rPr>
          <w:t>пунктах 8</w:t>
        </w:r>
      </w:hyperlink>
      <w:r w:rsidRPr="008101A1">
        <w:rPr>
          <w:sz w:val="28"/>
          <w:szCs w:val="28"/>
        </w:rPr>
        <w:t xml:space="preserve">, </w:t>
      </w:r>
      <w:hyperlink r:id="rId10" w:anchor="sub_30027" w:history="1">
        <w:r w:rsidRPr="008101A1">
          <w:rPr>
            <w:rStyle w:val="a6"/>
            <w:color w:val="auto"/>
            <w:sz w:val="28"/>
            <w:szCs w:val="28"/>
            <w:u w:val="none"/>
          </w:rPr>
          <w:t>13</w:t>
        </w:r>
      </w:hyperlink>
      <w:r w:rsidRPr="008101A1">
        <w:rPr>
          <w:sz w:val="28"/>
          <w:szCs w:val="28"/>
        </w:rPr>
        <w:t>, 14 и 17.</w:t>
      </w:r>
    </w:p>
    <w:p w:rsidR="000B6DA8" w:rsidRDefault="000B6DA8"/>
    <w:sectPr w:rsidR="000B6DA8" w:rsidSect="009F2BD4">
      <w:footerReference w:type="default" r:id="rId11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28" w:rsidRDefault="000C5228" w:rsidP="00CA5AE7">
      <w:r>
        <w:separator/>
      </w:r>
    </w:p>
  </w:endnote>
  <w:endnote w:type="continuationSeparator" w:id="0">
    <w:p w:rsidR="000C5228" w:rsidRDefault="000C5228" w:rsidP="00C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25"/>
      <w:docPartObj>
        <w:docPartGallery w:val="Page Numbers (Bottom of Page)"/>
        <w:docPartUnique/>
      </w:docPartObj>
    </w:sdtPr>
    <w:sdtEndPr/>
    <w:sdtContent>
      <w:p w:rsidR="000A541A" w:rsidRDefault="000A54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03">
          <w:rPr>
            <w:noProof/>
          </w:rPr>
          <w:t>12</w:t>
        </w:r>
        <w:r>
          <w:fldChar w:fldCharType="end"/>
        </w:r>
      </w:p>
    </w:sdtContent>
  </w:sdt>
  <w:p w:rsidR="000A541A" w:rsidRDefault="000A5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28" w:rsidRDefault="000C5228" w:rsidP="00CA5AE7">
      <w:r>
        <w:separator/>
      </w:r>
    </w:p>
  </w:footnote>
  <w:footnote w:type="continuationSeparator" w:id="0">
    <w:p w:rsidR="000C5228" w:rsidRDefault="000C5228" w:rsidP="00CA5AE7">
      <w:r>
        <w:continuationSeparator/>
      </w:r>
    </w:p>
  </w:footnote>
  <w:footnote w:id="1">
    <w:p w:rsidR="00CA5AE7" w:rsidRDefault="00CA5AE7" w:rsidP="00CA5AE7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5"/>
    <w:rsid w:val="000806A8"/>
    <w:rsid w:val="000A541A"/>
    <w:rsid w:val="000B6DA8"/>
    <w:rsid w:val="000C5228"/>
    <w:rsid w:val="00154F1D"/>
    <w:rsid w:val="001A08C4"/>
    <w:rsid w:val="002876BA"/>
    <w:rsid w:val="0037129E"/>
    <w:rsid w:val="003E12CD"/>
    <w:rsid w:val="00412447"/>
    <w:rsid w:val="00425782"/>
    <w:rsid w:val="004E3336"/>
    <w:rsid w:val="005108D9"/>
    <w:rsid w:val="005611F2"/>
    <w:rsid w:val="00561280"/>
    <w:rsid w:val="005874AB"/>
    <w:rsid w:val="006501A5"/>
    <w:rsid w:val="00676B52"/>
    <w:rsid w:val="00694285"/>
    <w:rsid w:val="006C2806"/>
    <w:rsid w:val="006D1D01"/>
    <w:rsid w:val="006F2BE9"/>
    <w:rsid w:val="00703E00"/>
    <w:rsid w:val="007472DB"/>
    <w:rsid w:val="007B5A99"/>
    <w:rsid w:val="007C6C3B"/>
    <w:rsid w:val="008101A1"/>
    <w:rsid w:val="0087108E"/>
    <w:rsid w:val="00891A1C"/>
    <w:rsid w:val="008E30C7"/>
    <w:rsid w:val="00907592"/>
    <w:rsid w:val="009342C7"/>
    <w:rsid w:val="009435FF"/>
    <w:rsid w:val="00980AFB"/>
    <w:rsid w:val="009A2768"/>
    <w:rsid w:val="009F2BD4"/>
    <w:rsid w:val="00A63F55"/>
    <w:rsid w:val="00A70E46"/>
    <w:rsid w:val="00AE5F3F"/>
    <w:rsid w:val="00B20117"/>
    <w:rsid w:val="00B423CC"/>
    <w:rsid w:val="00BB3A60"/>
    <w:rsid w:val="00CA08D5"/>
    <w:rsid w:val="00CA5AE7"/>
    <w:rsid w:val="00CB1F38"/>
    <w:rsid w:val="00CF7046"/>
    <w:rsid w:val="00D343C9"/>
    <w:rsid w:val="00E054EB"/>
    <w:rsid w:val="00E53E41"/>
    <w:rsid w:val="00E732F6"/>
    <w:rsid w:val="00F63B47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21</cp:revision>
  <cp:lastPrinted>2017-09-01T12:11:00Z</cp:lastPrinted>
  <dcterms:created xsi:type="dcterms:W3CDTF">2014-08-18T10:56:00Z</dcterms:created>
  <dcterms:modified xsi:type="dcterms:W3CDTF">2017-09-01T12:12:00Z</dcterms:modified>
</cp:coreProperties>
</file>