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bookmarkStart w:id="0" w:name="_GoBack"/>
      <w:bookmarkEnd w:id="0"/>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spacing w:after="0" w:line="240" w:lineRule="exact"/>
        <w:ind w:left="5400"/>
        <w:jc w:val="both"/>
        <w:rPr>
          <w:rFonts w:ascii="Times New Roman" w:eastAsia="Times New Roman" w:hAnsi="Times New Roman" w:cs="Times New Roman"/>
          <w:sz w:val="28"/>
          <w:szCs w:val="28"/>
        </w:rPr>
      </w:pPr>
    </w:p>
    <w:p w:rsidR="005304AE" w:rsidRPr="004A14BF" w:rsidRDefault="005304AE" w:rsidP="005304AE">
      <w:pPr>
        <w:pBdr>
          <w:bottom w:val="single" w:sz="6" w:space="15" w:color="D6DBDF"/>
        </w:pBdr>
        <w:spacing w:after="300" w:line="465" w:lineRule="atLeast"/>
        <w:ind w:firstLine="708"/>
        <w:outlineLvl w:val="0"/>
        <w:rPr>
          <w:rFonts w:ascii="Times New Roman" w:eastAsia="Times New Roman" w:hAnsi="Times New Roman" w:cs="Times New Roman"/>
          <w:kern w:val="36"/>
          <w:sz w:val="28"/>
          <w:szCs w:val="28"/>
        </w:rPr>
      </w:pPr>
      <w:r w:rsidRPr="00681C9C">
        <w:rPr>
          <w:rFonts w:ascii="Times New Roman" w:eastAsia="Times New Roman" w:hAnsi="Times New Roman" w:cs="Times New Roman"/>
          <w:kern w:val="36"/>
          <w:sz w:val="28"/>
          <w:szCs w:val="28"/>
        </w:rPr>
        <w:t>Особенно</w:t>
      </w:r>
      <w:r w:rsidRPr="004A14BF">
        <w:rPr>
          <w:rFonts w:ascii="Times New Roman" w:eastAsia="Times New Roman" w:hAnsi="Times New Roman" w:cs="Times New Roman"/>
          <w:kern w:val="36"/>
          <w:sz w:val="28"/>
          <w:szCs w:val="28"/>
        </w:rPr>
        <w:t>сти возмещения судебных издержек</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обобщил судебную практику порядка компенсации проигравшей стороной издержек по арбитражным, гражданским и административным делам. Судьи дали определение судебным издержкам, а также указали на особенности их взыскания.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21.01.2016 Пленум Верховного суда РФ принял постановление «О некоторых вопросах применения законодательства о возмещении издержек, связанных с рассмотрением дела».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Верховный суд РФ уточнил определение и перечень судебных издержек. В соответствии с текстом постановления, судебные издержки - это часть расходов, понесенных в ходе судебного процесса, которую должно возместить проигравшее спор лицо, понесшим их участникам судебного процесса.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 судебным издержкам суд отнес затраты сторон на сбор доказательств, расходы на оформление доверенностей и оплату услуг представителей, а также затраты на соблюдение обязательного досудебного или претензионного порядка. Издержками признали расходы всех лиц, участвующих в деле.</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Например, истцу могут быть возмещены расходы, связанные с легализацией иностранных официальных документов, обеспечением 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суд иска, его подсудность.</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постановлении Пленума Верховного суда РФ уделено внимание возмещению расходов сторон на оплату услуг представителя и компенсации судебных издержек при заключении мирового соглашения.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Так, при заключении мирового соглашения, соглашения о примирении судебные издержки распределяются в соответствии с его условиями. В том </w:t>
      </w:r>
      <w:r w:rsidRPr="004A14BF">
        <w:rPr>
          <w:sz w:val="28"/>
          <w:szCs w:val="28"/>
        </w:rPr>
        <w:lastRenderedPageBreak/>
        <w:t>случае, если в мировом соглашении, соглашении о примирении стороны не предусмотрели условия о распределении судебных издержек, суд разрешает данный вопрос с учетом следующего.</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Заключение мирового соглашения, соглашения о примирении обусловлено взаимными уступками сторон,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 Поэтому судебные издержки, понесенные сторонами в ходе рассмотрения дела до заключения ими мирового соглашения, соглашения о примирении, относятся на них и распределению не подлежат.</w:t>
      </w: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Pr="004A14BF"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rPr>
          <w:rFonts w:ascii="Times New Roman" w:hAnsi="Times New Roman" w:cs="Times New Roman"/>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ind w:firstLine="708"/>
        <w:rPr>
          <w:b w:val="0"/>
          <w:bCs w:val="0"/>
          <w:sz w:val="28"/>
          <w:szCs w:val="28"/>
        </w:rPr>
      </w:pPr>
      <w:r w:rsidRPr="004A14BF">
        <w:rPr>
          <w:b w:val="0"/>
          <w:bCs w:val="0"/>
          <w:sz w:val="28"/>
          <w:szCs w:val="28"/>
        </w:rPr>
        <w:t>Новый закон о профилактике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 22.09.2016 вступает в законную силу Федеральный закон от 23.06.2016 № 182-ФЗ «Об основах системы профилактики правонарушений в Российской Федерации», предметом регулирования которого являются общественные отношения, возникающие в сфере профилактики правонарушений в Российской Федерации.</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Федеральный закон устанавливает правовую и организационные основы системы профилактики правонарушений, общие правила ее функционирования, основные принципы, направления, виды профилактики правонарушений и формы профилактического воздействия, полномочия, права и обязанности субъектов профилактики правонарушений и лиц, участвующих в профилактике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Профилактика правонарушений осуществляется при возникновении социальных, экономических, правовых и иных причин и условий, способствующих совершению правонарушений.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Субъектами профилактики правонарушений являются:</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1) федеральные органы исполнительной власти;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2) органы прокуратуры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3) следственные органы Следственного комитета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4) органы государственной власти субъектов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5) органы местного самоуправления.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Субъекты профилактики правонарушений обязаны обеспечивать доступ к информации о своей деятельности по профилактике правонарушений способами,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w:t>
      </w:r>
      <w:r w:rsidRPr="004A14BF">
        <w:rPr>
          <w:sz w:val="28"/>
          <w:szCs w:val="28"/>
        </w:rPr>
        <w:lastRenderedPageBreak/>
        <w:t>а также путем размещения ее в средствах массовой информации по официальным запросам, проведения пресс-конференций, рассылки справочных и статистических материалов, если иное не установлено федеральными законами.</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Должностные лица органов прокуратуры Российской Федерации в пределах установленной компетенции вправе осуществлять профилактическое воздействие в следующих формах: правовое просвещение и правовое информирование; профилактическая беседа; объявление официального предостережения о недопустимости действий, создающих условия для совершения правонарушений; профилактический учет; внесение представления об устранении причин и условий, способствующих совершению правонарушения.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Органы прокуратуры Российской Федерации осуществляют профилактику правонарушений, обеспечивая надзор за исполнением законов федеральными органами исполнительной власти, Следственным комитетом Российской Федерации, органами государственной власти субъектов Российской Федерации, органами местного самоуправления и их должностными лицами в соответствии с Федеральным законом «О прокуратуре Российской Федерации».</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5304AE" w:rsidRDefault="005304AE" w:rsidP="005304AE">
      <w:pPr>
        <w:shd w:val="clear" w:color="auto" w:fill="FFFFFF"/>
        <w:spacing w:after="150" w:line="300" w:lineRule="atLeast"/>
        <w:jc w:val="both"/>
        <w:rPr>
          <w:rFonts w:ascii="Times New Roman" w:eastAsia="Times New Roman" w:hAnsi="Times New Roman" w:cs="Times New Roman"/>
          <w:sz w:val="28"/>
          <w:szCs w:val="28"/>
        </w:rPr>
      </w:pPr>
    </w:p>
    <w:p w:rsidR="00813D76" w:rsidRDefault="00813D76"/>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Особенности привлечения к ответственности лиц, обладающих особым правовым статусом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Согласно ч. 4 ст. 41 Федерального закона от 12.06.2002 № 67-ФЗ «Об основных гарантиях избирательных прав и права на участие в референдуме граждан Российской Федерации» (далее – ФЗ № 67-ФЗ) решения о возбуждении уголовного дела в отношении зарегистрированного кандидата, привлечении его в качестве обвиняемого по уголовному делу соответственно уровню выборов могут быть приняты с согласия Председателя Следственного комитета РФ, руководителя следственного органа Следственного комитета РФ.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При этом избирательная комиссия, зарегистрировавшая кандидата, извещается о даче соответствующего согласия.</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соответствии с приказом Генерального прокурора РФ от 23.11.2015 № 645 «О реализации прокурорами полномочий в сфере привлечения к административной ответственности лиц, обладающих особым правовым статусом» без согласия прокурора субъекта Российской Федерации не может быть подвергнут административному наказанию, налагаемому в судебном порядке:</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t>- член избирательной комиссии, комиссии референдума (за исключением членов Центральной избирательной комиссии РФ и председателей избирательных комиссий субъектов РФ) с правом решающего голоса (</w:t>
      </w:r>
      <w:hyperlink r:id="rId7" w:history="1">
        <w:r w:rsidRPr="004A14BF">
          <w:rPr>
            <w:rStyle w:val="a4"/>
            <w:color w:val="auto"/>
            <w:sz w:val="28"/>
            <w:szCs w:val="28"/>
          </w:rPr>
          <w:t>п. 18 ст. 29</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r w:rsidRPr="004A14BF">
        <w:rPr>
          <w:sz w:val="28"/>
          <w:szCs w:val="28"/>
        </w:rPr>
        <w:lastRenderedPageBreak/>
        <w:t>- зарегистрированный кандидат на должность высшего должностного лица субъекта Российской Федерации, зарегистрированный кандидат в депутаты законодательного (представительного) органа власти субъекта Российской Федерации (</w:t>
      </w:r>
      <w:hyperlink r:id="rId8"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Без согласия прокурора города, района, другого приравненного к ним территориального прокурора не может быть подвергнут административному наказанию, налагаемому в судебном порядке, зарегистрированный кандидат на выборную должность органа местного самоуправления, зарегистрированный кандидат в депутаты представительного органа муниципального образования (</w:t>
      </w:r>
      <w:hyperlink r:id="rId9" w:history="1">
        <w:r w:rsidRPr="004A14BF">
          <w:rPr>
            <w:rStyle w:val="a4"/>
            <w:color w:val="auto"/>
            <w:sz w:val="28"/>
            <w:szCs w:val="28"/>
          </w:rPr>
          <w:t>п. 4 ст. 41</w:t>
        </w:r>
      </w:hyperlink>
      <w:r w:rsidRPr="004A14BF">
        <w:rPr>
          <w:rStyle w:val="apple-converted-space"/>
          <w:sz w:val="28"/>
          <w:szCs w:val="28"/>
        </w:rPr>
        <w:t> </w:t>
      </w:r>
      <w:r w:rsidRPr="004A14BF">
        <w:rPr>
          <w:sz w:val="28"/>
          <w:szCs w:val="28"/>
        </w:rPr>
        <w:t>ФЗ № 67-ФЗ).</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4A14BF">
        <w:rPr>
          <w:b w:val="0"/>
          <w:bCs w:val="0"/>
          <w:sz w:val="28"/>
          <w:szCs w:val="28"/>
        </w:rPr>
        <w:t>Расширен перечень причин инвалидности, которые устанавливаются в случае признания гражданина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Постановлением Правительства РФ от 10.08.2016 № 772 внесены изменения в порядок и условия признания лица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Указанными изменениями расширен перечень причин инвалидности, которые устанавливаются в случае признания гражданина инвалидом.</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В перечень включено, в частности, заболевание (ранение, контузия, увечье), полученное лицом, обслуживавшим действующие воинские части Вооруженных Сил СССР и Вооруженных Сил РФ, находившиеся на территориях других государств в период ведения в этих государствах боевых действий.</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Кроме того, в частности, предусмотрено, что гражданин либо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Акт медико-социальной экспертизы гражданина, протокол проведения медико-социальной экспертизы гражданина, индивидуальная программа реабилитации или абилитации гражданина формируются в дело медико-социальной экспертизы гражданина. Гражданин либо его законный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5304AE" w:rsidRPr="004A14BF" w:rsidRDefault="005304AE" w:rsidP="005304AE">
      <w:pPr>
        <w:pStyle w:val="a3"/>
        <w:shd w:val="clear" w:color="auto" w:fill="FFFFFF"/>
        <w:spacing w:before="0" w:beforeAutospacing="0" w:after="150" w:afterAutospacing="0" w:line="300" w:lineRule="atLeast"/>
        <w:ind w:firstLine="708"/>
        <w:jc w:val="both"/>
        <w:rPr>
          <w:sz w:val="28"/>
          <w:szCs w:val="28"/>
        </w:rPr>
      </w:pPr>
      <w:r w:rsidRPr="004A14BF">
        <w:rPr>
          <w:sz w:val="28"/>
          <w:szCs w:val="28"/>
        </w:rPr>
        <w:t xml:space="preserve">При необходимости внесения исправлений в индивидуальную программу реабилитации или абилитации в связи с изменением персональных, антропометрических данных инвалида, необходимостью </w:t>
      </w:r>
      <w:r w:rsidRPr="004A14BF">
        <w:rPr>
          <w:sz w:val="28"/>
          <w:szCs w:val="28"/>
        </w:rPr>
        <w:lastRenderedPageBreak/>
        <w:t>уточнения характеристик ранее рекомендованных видов реабилитационных или абилитационных мероприятий, а также в целях устранения технических ошибок, таких как описка, опечатка, грамматическая или арифметическая ошибка либо подобная ошибка, инвалиду по его заявлению либо по заявлению его законного или уполномоченного представителя взамен ранее выданной составляется новая индивидуальная программа реабилитации или абилитации без проведения дополнительного освидетельствования инвалида.</w:t>
      </w:r>
    </w:p>
    <w:p w:rsidR="005304AE" w:rsidRPr="004A14BF" w:rsidRDefault="005304AE" w:rsidP="005304AE">
      <w:pPr>
        <w:pStyle w:val="a3"/>
        <w:shd w:val="clear" w:color="auto" w:fill="FFFFFF"/>
        <w:spacing w:before="0" w:beforeAutospacing="0" w:after="150" w:afterAutospacing="0" w:line="300" w:lineRule="atLeast"/>
        <w:jc w:val="both"/>
        <w:rPr>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Pr="004A14BF"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rsidP="005304AE">
      <w:pPr>
        <w:rPr>
          <w:rFonts w:ascii="Times New Roman" w:hAnsi="Times New Roman" w:cs="Times New Roman"/>
          <w:sz w:val="28"/>
          <w:szCs w:val="28"/>
        </w:rPr>
      </w:pPr>
    </w:p>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Bdr>
          <w:bottom w:val="single" w:sz="6" w:space="15" w:color="D6DBDF"/>
        </w:pBdr>
        <w:spacing w:after="300" w:line="465" w:lineRule="atLeast"/>
        <w:outlineLvl w:val="0"/>
        <w:rPr>
          <w:rFonts w:ascii="Times New Roman" w:eastAsia="Times New Roman" w:hAnsi="Times New Roman" w:cs="Times New Roman"/>
          <w:kern w:val="36"/>
          <w:sz w:val="28"/>
          <w:szCs w:val="28"/>
        </w:rPr>
      </w:pPr>
    </w:p>
    <w:p w:rsidR="005304AE" w:rsidRPr="00C7154E" w:rsidRDefault="005304AE" w:rsidP="005304AE">
      <w:pPr>
        <w:pBdr>
          <w:bottom w:val="single" w:sz="6" w:space="15" w:color="D6DBDF"/>
        </w:pBdr>
        <w:spacing w:after="300" w:line="465" w:lineRule="atLeast"/>
        <w:outlineLvl w:val="0"/>
        <w:rPr>
          <w:rFonts w:ascii="Times New Roman" w:eastAsia="Times New Roman" w:hAnsi="Times New Roman" w:cs="Times New Roman"/>
          <w:kern w:val="36"/>
          <w:sz w:val="28"/>
          <w:szCs w:val="28"/>
        </w:rPr>
      </w:pPr>
      <w:r w:rsidRPr="00F67F67">
        <w:rPr>
          <w:rFonts w:ascii="Times New Roman" w:eastAsia="Times New Roman" w:hAnsi="Times New Roman" w:cs="Times New Roman"/>
          <w:kern w:val="36"/>
          <w:sz w:val="28"/>
          <w:szCs w:val="28"/>
        </w:rPr>
        <w:t>Административная и уголовная ответственность за порчу земли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Земля является важнейшим природным ресурсом. Поэтому законодательство Российской Федерации содержит ряд положений, направленных на охрану земли от ухудшения ее качественного состояния.</w:t>
      </w: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r w:rsidRPr="00C7154E">
        <w:rPr>
          <w:sz w:val="28"/>
          <w:szCs w:val="28"/>
        </w:rPr>
        <w:t>За самовольное снятие или перемещение плодородного слоя почвы частью 1 статьи 8.6 КоАП РФ предусмотрена административная ответственность.</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Самовольное снятие плодородного слоя почвы – это его отделение от поверхности земли без разрешения. Самовольное перемещение плодородного слоя почвы - это осуществленное без надлежащего разрешения изменение пространственного расположения плодородного слоя почвы.</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 совершение указанного правонарушения предусмотрена административная ответственность в виде штрафа на граждан в размере от одной до трех тысяч рублей; на должностных лиц - от пяти до десяти тысяч рублей; на юридических лиц - от тридцати до пятидесяти тысяч рублей.</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 уничтожение плодородного слоя почвы, а равно порчу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предусмотрена административная ответственность по части 2 статьи 8.6 Кодекса Российской Федерации об административных правонарушениях.</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Уничтожение плодородного слоя почвы может выражаться в таких действиях, как насыпка поверх него другого грунта, залив бетоном, асфальтом, приведение в негодность при заготовке и трелевке древесины, сносе плодородного слоя при строительстве, прокладке дорог; невыполнения мероприятий по рекультивации земель, проезда тяжелого транспорта и тому подобное.</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lastRenderedPageBreak/>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Порчей земель является ухудшение их качества в результате антропогенной деятельности, связанной с обращением опасных веществ и отходов, лишением плодородного слоя почвы, увеличением количества химических веществ или уровня радиации и иное.</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Совершение данного административного правонарушения влечет наложение штрафа на граждан в размере от трех до пяти тысяч рублей; на должностных лиц - от десяти до тридцати тысяч рублей; на лиц, осуществляющих предпринимательскую деятельность без образования юридического лица, - от двадцати до сорока тысяч рублей или административное приостановление деятельности на срок до девяноста суток; на юридических лиц - от сорока до восьмидесяти тысяч рублей или административное приостановление деятельности на срок до девяноста суток.</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Предметом посягательства могут быть любые земли, вне зависимости от их категории. К ответственности за порчу земель также может быть привлечено лицо, не обладающее никакими правами на земельный участок. Достаточными основаниями для привлечения к ответственности является наличие вреда, причиненного земле, и установление причинно - следственной связи между действиями нарушителя и наступившим вредом.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Законодательство Российской Федерации предусматривает и уголовную ответственность за порчу земли.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Согласно части 1 статьи 254 Уголовного кодекса РФ, уголовно-наказуемым деянием является -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Указанные деяния, совершенные в зоне экологического бедствия или в зоне чрезвычайной экологической ситуации, влекут ответственность по части 2 статьи 254 Уголовного кодекса РФ.</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Деяния, предусмотренные частями первой и второй и повлекшие по неосторожности смерть человека образуют состав уголовного преступления, предусмотренного частью 3 статьи 254 Уголовного кодекса РФ.</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Максимальная мера наказания за такое преступление - лишение свободы на срок до 5 лет.</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Возмещение реального ущерба туристам в сфере выездного туризма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Постановлением Правительства РФ от 10.08.2016 № 779 утверждены 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 вступающие в силу с 01.01.2017.</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 установлены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из денежных средств фонда персональной ответственности туроператора в сфере выездного туризма, где лицами, имеющими право предъявить письменное требование о возмещении реального ущерба из денежных средств фонда, являются туристы, иные заказчики туристского продукта или их представители.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Определено понятие реального ущерба, подлежащего возмещению из денежных средств фонда, где понимаются расходы туриста и (или) иного заказчика в соответствии с договором о реализации туристского продукта.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по причине невозможности исполнения туроператором обязательств по договору о реализации туристского продукта. Турист и (или) иной заказчик (их представитель) вправе требовать возмещения реального ущерба, в том числе до наступления фактической даты выезда в страну </w:t>
      </w:r>
      <w:r w:rsidRPr="00C7154E">
        <w:rPr>
          <w:sz w:val="28"/>
          <w:szCs w:val="28"/>
        </w:rPr>
        <w:lastRenderedPageBreak/>
        <w:t>временного пребывания, указанной в договоре о реализации туристского продукта.</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достоверность такой информации.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Срок рассмотрения такого заявления не может превышать 5 рабочих дней.В течение 10 рабочих дней с даты принятия решения о возмещении туристу и (или) иному заказчику реального ущерба, объединение туроператоров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 о возмещении денежных средств.</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Выплата денежных средств, в целях возмещения реального ущерба туристу и (или) иному заказчику из денежных средств фонда осуществляется в рублях.</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 xml:space="preserve">сентября__2016 года </w:t>
      </w: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spacing w:after="0" w:line="240" w:lineRule="exact"/>
        <w:ind w:left="5400"/>
        <w:jc w:val="both"/>
        <w:rPr>
          <w:rFonts w:ascii="Times New Roman" w:eastAsia="Times New Roman" w:hAnsi="Times New Roman" w:cs="Times New Roman"/>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Ужесточена ответственность за незаконную добычу (вылов) водных биологических ресурсов</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15 июля 2016 года вступил в силу Федеральный закон от 03.07.2016 № 330-ФЗ «О внесении изменений в статью 256 Уголовного кодекса Российской Федерации».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Согласно указанному Федеральному закону ужесточено наказание за незаконную добычу (вылов) водных биологических ресурсов, а также за незаконную добычу котиков, морских бобров или других морских млекопитающих в открытом море или в запретных зонах.</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Санкции частей первой и второй статьи 256 УК РФ дополнены наказаниями в виде лишения свободы на срок до двух лет, а санкция части третьей этой статьи – наказанием в виде лишения свободы на срок от двух до пяти лет.</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Таким образом, указанное преступление, с момента вступления в силу Федерального закона от 03.07.2016 № 330-ФЗ, относится к категории средней тяжести.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Также вышеуказанным Федеральным законом увеличен и максимальный размер штрафа с 300 до 500 тысяч рублей за совершение преступлений, предусмотренных частями 1 и 2 статьи 256 УК РФ, и с 500 тысяч до 1 млн. рублей за деяния, предусмотренные частью 3 статьи.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Статья 256 УК РФ дополнена примечанием, которым определены размеры крупного и особо крупного ущерба. Теперь, с 15 июля текущего года крупным признается ущерб, если он превысил 100 тысяч рублей, а особо крупным – 250 тысяч рублей.</w:t>
      </w: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C7154E"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Style w:val="1"/>
        <w:pBdr>
          <w:bottom w:val="single" w:sz="6" w:space="15" w:color="D6DBDF"/>
        </w:pBdr>
        <w:spacing w:before="0" w:beforeAutospacing="0" w:after="300" w:afterAutospacing="0" w:line="465" w:lineRule="atLeast"/>
        <w:rPr>
          <w:b w:val="0"/>
          <w:bCs w:val="0"/>
          <w:sz w:val="28"/>
          <w:szCs w:val="28"/>
        </w:rPr>
      </w:pPr>
    </w:p>
    <w:p w:rsidR="005304AE" w:rsidRPr="00C7154E" w:rsidRDefault="005304AE" w:rsidP="005304AE">
      <w:pPr>
        <w:pStyle w:val="1"/>
        <w:pBdr>
          <w:bottom w:val="single" w:sz="6" w:space="15" w:color="D6DBDF"/>
        </w:pBdr>
        <w:spacing w:before="0" w:beforeAutospacing="0" w:after="300" w:afterAutospacing="0" w:line="465" w:lineRule="atLeast"/>
        <w:rPr>
          <w:b w:val="0"/>
          <w:bCs w:val="0"/>
          <w:sz w:val="28"/>
          <w:szCs w:val="28"/>
        </w:rPr>
      </w:pPr>
      <w:r w:rsidRPr="00C7154E">
        <w:rPr>
          <w:b w:val="0"/>
          <w:bCs w:val="0"/>
          <w:sz w:val="28"/>
          <w:szCs w:val="28"/>
        </w:rPr>
        <w:t>Упрощена процедура оформления документов для выезда граждан из Российской Федерации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Ранее законодатель обязывал при оформлении и выдачи второго паспорта гражданину, предоставить ходатайство организации, направляющей его за пределы территории Российской Федерации в случае, если трудовая деятельность заявителя связана с регулярными (не реже одного раза в течение месяца) выездами за пределы территории Российской Федерации, а данный гражданин не имеет права на получение дипломатического или служебного паспорта (дипломатического или служебного паспорта нового поколения).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Статьей 1 Федеральный закон от 28.11.2015 № 343-ФЗ «О внесении изменений в статьи 25 и 25.6 Федерального закона «О порядке выезда из Российской Федерации и въезда в Российскую Федерацию» и статью 13 Федерального закона «О правовом положении иностранных граждан в Российской Федерации» отменено установленное требование о предоставлении ходатайства организацией, которая направляет гражданина за пределы границы Российской Федерации, в том случае, когда оформляется паспорт, содержащий электронный носитель информации и срок действия которого составляет десять лет.</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 xml:space="preserve">Кроме того, норма Федерального закона от 15.08.1996 № 114-ФЗ «О порядке выезда из Российской Федерации и въезда в Российскую Федерацию», устанавливающая выдачу заграничного паспорта несовершеннолетнего исключительно только одному из его родителей, подавшему соответствующее заявление, признана Апелляционным </w:t>
      </w:r>
      <w:r w:rsidRPr="00C7154E">
        <w:rPr>
          <w:sz w:val="28"/>
          <w:szCs w:val="28"/>
        </w:rPr>
        <w:lastRenderedPageBreak/>
        <w:t>определением Верховного Суда РФот 30.07.2015 № АПЛ15-277 недействующей и ограничивающей права несовершеннолетнего.</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Частью четвертой статьи 8 Федерального закона от 15.08.1996 № 114-ФЗ «О порядке выезда из Российской Федерации и въезда в Российскую Федерацию» установлено, что 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Таким образом, оформление и выдача паспорта гражданина Российской Федерации, удостоверяющего его личность за пределами территории Российской Федерации, предусматривает заявительный порядок обращения за предоставлением данной государственной услуги. Запрос заявителя является необходимым условием предоставления любой государственной услуги.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Исходя из принципа равенства прав и обязанностей родителей, являющихся законными представителями своих несовершеннолетних детей, и отсутствия в законе установленной формы соглашения между родителями о том, кто из них обращается за оформлением заграничного паспорта ребенку, предполагается, что при подаче заявления на оформление заграничного паспорта несовершеннолетнему он действует с согласия другого родителя.</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Выдача заграничного паспорта несовершеннолетнего исключительно только одному из его родителей, подавшему соответствующее заявление, необоснованно увязывает реализацию предусмотренного федеральным законодательством права несовершеннолетнего выезжать за пределы Российской Федерации с необходимостью личного получения его паспорта только одним из двух его родителей. Осуществление несовершеннолетним такого права не должно целиком и полностью зависеть от возможности подавшего заявление кого-либо из родителей лично явиться за уже оформленным заграничным паспортом.</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Установленное ограничение прав несовершеннолетнего и его законных представителей и отсутствие правового механизма, определяющего порядок предоставления такой государственной услуги по выдаче заграничного паспорта несовершеннолетнему в исключительных случаях при невозможности его получения лично законным представителем несовершеннолетнего гражданина, подавшим заявление о выдаче заграничного паспорта, явилось основанием для признания данной нормы не соответствующей закону в оспоренной части.</w:t>
      </w:r>
    </w:p>
    <w:p w:rsidR="005304AE" w:rsidRPr="00C7154E" w:rsidRDefault="005304AE" w:rsidP="005304AE">
      <w:pPr>
        <w:pStyle w:val="a3"/>
        <w:shd w:val="clear" w:color="auto" w:fill="FFFFFF"/>
        <w:spacing w:before="0" w:beforeAutospacing="0" w:after="150" w:afterAutospacing="0" w:line="300" w:lineRule="atLeast"/>
        <w:ind w:firstLine="708"/>
        <w:jc w:val="both"/>
        <w:rPr>
          <w:sz w:val="28"/>
          <w:szCs w:val="28"/>
        </w:rPr>
      </w:pPr>
      <w:r w:rsidRPr="00C7154E">
        <w:rPr>
          <w:sz w:val="28"/>
          <w:szCs w:val="28"/>
        </w:rPr>
        <w:t>Апелляционное определение Верховного Суда РФ от 30.07.2015№ АПЛ15-277 вступило в законную силу.</w:t>
      </w: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p>
    <w:p w:rsidR="005304AE"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p>
    <w:p w:rsidR="005304AE" w:rsidRPr="002360C2" w:rsidRDefault="005304AE" w:rsidP="005304AE">
      <w:pPr>
        <w:pBdr>
          <w:bottom w:val="single" w:sz="6" w:space="15" w:color="ECECEC"/>
        </w:pBdr>
        <w:shd w:val="clear" w:color="auto" w:fill="FFFFFF"/>
        <w:spacing w:after="300" w:line="240" w:lineRule="auto"/>
        <w:ind w:right="-300"/>
        <w:outlineLvl w:val="0"/>
        <w:rPr>
          <w:rFonts w:ascii="Times New Roman" w:eastAsia="Times New Roman" w:hAnsi="Times New Roman" w:cs="Times New Roman"/>
          <w:kern w:val="36"/>
          <w:sz w:val="28"/>
          <w:szCs w:val="28"/>
        </w:rPr>
      </w:pPr>
      <w:r w:rsidRPr="00764B6B">
        <w:rPr>
          <w:rFonts w:ascii="Times New Roman" w:eastAsia="Times New Roman" w:hAnsi="Times New Roman" w:cs="Times New Roman"/>
          <w:kern w:val="36"/>
          <w:sz w:val="28"/>
          <w:szCs w:val="28"/>
        </w:rPr>
        <w:t>Восстановление пропущенного срока обращения в суд за разрешением спора об увольнении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ч. 1 ст. 392 Трудового кодекса Российской Федерации работник имеет право обратиться в суд за разрешением спора об увольнении в течение одного месяца со дня вручения ему копии приказа об увольнении либо со дня выдачи трудовой книжки.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Если указанный срок пропущен по уважительным причинам, он может быть восстановлен судом, в порядке, установленном гражданским процессуальным законодательством (ст. 112 ГПК РФ).</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Вместе с тем, приведенный перечень уважительных причин пропуска срока обращения в суд не является исчерпывающим.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Ошибочное обращение в суд с иском в установленный законом месячный срок с нарушением правил подсудности, которое привело к пропуску срока обращения в надлежащий суд, также может быть отнесено к уважительным причинам пропуска срока обращения в суд.</w:t>
      </w: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36226" w:rsidRDefault="005304AE" w:rsidP="005304AE">
      <w:pPr>
        <w:rPr>
          <w:rFonts w:ascii="Times New Roman" w:hAnsi="Times New Roman" w:cs="Times New Roman"/>
          <w:sz w:val="28"/>
          <w:szCs w:val="28"/>
        </w:rPr>
      </w:pPr>
    </w:p>
    <w:p w:rsidR="005304AE" w:rsidRPr="00436226" w:rsidRDefault="005304AE" w:rsidP="005304AE">
      <w:pPr>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rPr>
          <w:b w:val="0"/>
          <w:bCs w:val="0"/>
          <w:sz w:val="28"/>
          <w:szCs w:val="28"/>
        </w:rPr>
      </w:pPr>
      <w:r w:rsidRPr="00436226">
        <w:rPr>
          <w:b w:val="0"/>
          <w:bCs w:val="0"/>
          <w:sz w:val="28"/>
          <w:szCs w:val="28"/>
        </w:rPr>
        <w:t>Распоряжение собственниками жилых помещений в многоквартирном доме общим имуществом дома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нормам действующего жилищного законодательства РФ собственникам жилых помещений в многоквартирном доме принадлежит на праве общей долевой собственности также общее имущество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Иными словами, в случае приобретения гражданином в собственность жилого помещения в многоквартирном доме, он становится и собственником доли в праве собственности на общее имущество в этом доме, которая пропорциональна размеру общей площади приобретенного жилого помещения.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К такому имуществу согласно части 1 статьи 36 Жилищного кодекса Российской Федерации относятся, в частности, лестничные площадки, лестницы, лифты, коридоры, технические этажи, чердаки, подвалы, иные помещения, предназначенные для организации досуга жильцов, культурного развития, творчества, занятий физической культурой и спортом и т.п.</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Вместе с тем, доля в праве собственности на общее имущество в многоквартирном доме не может служить самостоятельным предметом различного рода сделок или самостоятельно (отдельно от права собственности на жилое помещение) переходить от одного лица к другому.</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Однако, нередки случаи отчуждения или иного способа выбытия (в том числе из пользования) из состава общего имущества в многоквартирном доме его элементов, в частности, подвалов, помещений мест общего пользования и других элементов.</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В соответствии с частью 2 статьи 36 Жилищного кодекса Российской Федерации собственники помещений в многоквартирном доме вправе владеть и пользоваться общим имуществом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lastRenderedPageBreak/>
        <w:t>Нормами части 4 статьи 37 Жилищного кодекса Российской Федерации установлен запрет собственнику помещения в многоквартирном доме на выдел в натуре своей доли в праве общей собственности на общее имущество в многоквартирном доме, а также на отчуждение этой доли и совершение иных действий, влекущих за собой передачу доли отдельно от права собственности на указанное помещение.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Из содержания части 1 статьи 38 Жилищного кодекса Российской Федерации следует, что переход доли в праве общей собственности на общее имущество многоквартирного дома возможен только при приобретении в собственность помещения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Аналогичные положения также закреплены в части 2 статьи 291 Гражданского кодекса Российской Федерации и в статье 23 Федерального закона от 21.07.1997 № 122-ФЗ «О государственной регистрации прав на недвижимое имущество и сделок с ним».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Таким образом, возникновение права общей долевой собственности на общее имущество многоквартирного дома неразрывно связано с возникновением права собственности на жилое помещение в этом доме. Доля в праве собственности на общее имущество в многоквартирном доме следует судьбе права собственности на расположенное в нем жилое помещение и не может существовать отдельно от него.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Пределы распоряжения собственниками указанным имуществом ограничены жилищным и гражданским законодательством РФ и распространяются только на случаи передачи общего имущества многоквартирного дома другим лицам во временное пользование и (или) владение, в том числе в целях получения дохода.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При этом, в силу требований частей 2 - 4 статьи 36, статей 44 и 46 Жилищного кодекса Российской Федерации такое решение принимается на общем собрании собственников помещений в многоквартирном доме при условии, если за него проголосовало не менее двух третей голосов от общего числа голосов собственников помещений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Аналогичный порядок принятия решения распространяется и на случаи, когда в многоквартирном доме создано товарищество собственников жилья либо создан жилищно-строительный кооператив.</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Самовольное же распоряжение общим имуществом в многоквартирном доме может повлечь снижение безопасности многоквартирного дома, привести к ненадлежащей эксплуатации важнейших конструктивных и технических элементов здания, исключить свободный доступ собственников жилья к помещениям, входящим в состав общего имущества в многоквартирном доме.</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Защита права собственности осуществляется в судебном порядке.</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lastRenderedPageBreak/>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Pr="00436226" w:rsidRDefault="005304AE" w:rsidP="005304AE">
      <w:pPr>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rPr>
          <w:b w:val="0"/>
          <w:bCs w:val="0"/>
          <w:sz w:val="28"/>
          <w:szCs w:val="28"/>
        </w:rPr>
      </w:pPr>
      <w:r w:rsidRPr="00436226">
        <w:rPr>
          <w:b w:val="0"/>
          <w:bCs w:val="0"/>
          <w:sz w:val="28"/>
          <w:szCs w:val="28"/>
        </w:rPr>
        <w:t>Мера наказания – исправительные работы</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Исправительные работы – это мера государственного принуждения, назначаемая по приговору суда и заключающаяся в ограничении ряда прав и свобод осужденного, представляющая собой выполнение общественно полезной работы в определяемом органом местного самоуправления учреждении по согласованию с государственным органом, исполняющим данных вид наказания.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Исправительные работы, как вид уголовного наказания, предусмотрены ст. 50 Уголовного кодекса РФ.</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Названный вид наказания назначается осужденным, как имеющим основное место работы, и тогда наказание исполняется в свободное от основной деятельности время по месту работы, так и не имеющим его.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Осужденный, не имеющий постоянного места работы, отбывает исправительные работы в местах, определяемых органом местного самоуправления по согласованию с уголовно-исполнительными инспекциями, но в районе места жительства осужденного.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Срок, на который суд вправе назначить наказание в виде исправительных работ составляет от 2 месяцев до 2 лет.</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Законом предусмотрена выплата заработной платы осужденному за выполнение таких работ, однако из нее на основании приговора суда удерживается определенный процент в доход государства, который может составлять от 5 до 20 %.</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Если осужденный уклоняется от отбывания данного вида наказания, суд по представлению уголовно-исполнительной инспекции вправе заменить исправительные работы на более строгий вид наказания. Замена на лишение свободы производится из расчета 3 дня исправительных работ за 1 день лишения свободы или принудительных работ, которые являются отдельным, более строгим видом наказания.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lastRenderedPageBreak/>
        <w:t>По тем же правилам назначается наказание, если лицо осуждено за совершение нескольких преступлений, по части из которых наказание назначено в виде лишения свободы, а по другой части – в виде исправительных работ. Окончательное наказание назначается в виде лишения свободы, если в данном конкретном случае невозможно исполнять наказание в виде исправительных работ самостоятельно.</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Уголовным законом установлено, что исправительные работы как вид наказания не назначаются:</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инвалидам первой группы;</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беременным женщинам;</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женщинам, имеющим детей в возрасте до 3-х лет;</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военнослужащим, проходящим военную службу по призыву;</w:t>
      </w:r>
    </w:p>
    <w:p w:rsidR="005304AE" w:rsidRPr="00436226" w:rsidRDefault="005304AE" w:rsidP="005304AE">
      <w:pPr>
        <w:pStyle w:val="a3"/>
        <w:shd w:val="clear" w:color="auto" w:fill="FFFFFF"/>
        <w:spacing w:before="0" w:beforeAutospacing="0" w:after="150" w:afterAutospacing="0" w:line="270" w:lineRule="atLeast"/>
        <w:jc w:val="both"/>
        <w:rPr>
          <w:sz w:val="28"/>
          <w:szCs w:val="28"/>
        </w:rPr>
      </w:pPr>
      <w:r w:rsidRPr="00436226">
        <w:rPr>
          <w:sz w:val="28"/>
          <w:szCs w:val="28"/>
        </w:rPr>
        <w:t>- военнослужащим, проходящим военную службу по контракту на воинских должностях рядового и сержантского состава, если на момент вынесения судом приговора они не отслужили установленного законом срока службы по призыву.</w:t>
      </w:r>
    </w:p>
    <w:p w:rsidR="005304AE" w:rsidRPr="00436226"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jc w:val="both"/>
        <w:rPr>
          <w:rFonts w:ascii="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УТВЕРЖДАЮ</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Кировский городской прокурор</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Ленинградской области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старший советник юстиции</w:t>
      </w:r>
    </w:p>
    <w:p w:rsidR="005304AE" w:rsidRPr="00872019" w:rsidRDefault="005304AE" w:rsidP="005304AE">
      <w:pPr>
        <w:spacing w:after="0" w:line="240" w:lineRule="exact"/>
        <w:ind w:left="5400"/>
        <w:jc w:val="both"/>
        <w:rPr>
          <w:rFonts w:ascii="Times New Roman" w:eastAsia="Times New Roman" w:hAnsi="Times New Roman" w:cs="Times New Roman"/>
          <w:sz w:val="28"/>
          <w:szCs w:val="28"/>
        </w:rPr>
      </w:pP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r w:rsidRPr="00872019">
        <w:rPr>
          <w:rFonts w:ascii="Times New Roman" w:eastAsia="Times New Roman" w:hAnsi="Times New Roman" w:cs="Times New Roman"/>
          <w:sz w:val="28"/>
          <w:szCs w:val="28"/>
        </w:rPr>
        <w:t xml:space="preserve">  Крушинский И.Б.</w:t>
      </w:r>
    </w:p>
    <w:p w:rsidR="005304AE" w:rsidRPr="00872019" w:rsidRDefault="005304AE" w:rsidP="005304AE">
      <w:pPr>
        <w:spacing w:after="0" w:line="240" w:lineRule="exact"/>
        <w:ind w:left="7080"/>
        <w:jc w:val="both"/>
        <w:rPr>
          <w:rFonts w:ascii="Times New Roman" w:eastAsia="Times New Roman" w:hAnsi="Times New Roman" w:cs="Times New Roman"/>
          <w:sz w:val="28"/>
          <w:szCs w:val="28"/>
        </w:rPr>
      </w:pPr>
    </w:p>
    <w:p w:rsidR="005304AE" w:rsidRDefault="005304AE" w:rsidP="005304AE">
      <w:pPr>
        <w:spacing w:after="0" w:line="240" w:lineRule="exact"/>
        <w:ind w:left="5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«_23</w:t>
      </w:r>
      <w:r w:rsidRPr="00872019">
        <w:rPr>
          <w:rFonts w:ascii="Times New Roman" w:eastAsia="Times New Roman" w:hAnsi="Times New Roman" w:cs="Times New Roman"/>
          <w:sz w:val="28"/>
          <w:szCs w:val="28"/>
        </w:rPr>
        <w:t>_»_</w:t>
      </w:r>
      <w:r>
        <w:rPr>
          <w:rFonts w:ascii="Times New Roman" w:eastAsia="Times New Roman" w:hAnsi="Times New Roman" w:cs="Times New Roman"/>
          <w:sz w:val="28"/>
          <w:szCs w:val="28"/>
        </w:rPr>
        <w:t>сентября__</w:t>
      </w:r>
      <w:r w:rsidRPr="00872019">
        <w:rPr>
          <w:rFonts w:ascii="Times New Roman" w:eastAsia="Times New Roman" w:hAnsi="Times New Roman" w:cs="Times New Roman"/>
          <w:sz w:val="28"/>
          <w:szCs w:val="28"/>
        </w:rPr>
        <w:t xml:space="preserve">2016 года  </w:t>
      </w:r>
    </w:p>
    <w:p w:rsidR="005304AE" w:rsidRDefault="005304AE" w:rsidP="005304AE">
      <w:pPr>
        <w:jc w:val="both"/>
        <w:rPr>
          <w:rFonts w:ascii="Times New Roman" w:hAnsi="Times New Roman" w:cs="Times New Roman"/>
          <w:sz w:val="28"/>
          <w:szCs w:val="28"/>
        </w:rPr>
      </w:pPr>
    </w:p>
    <w:p w:rsidR="005304AE" w:rsidRPr="00436226" w:rsidRDefault="005304AE" w:rsidP="005304AE">
      <w:pPr>
        <w:jc w:val="both"/>
        <w:rPr>
          <w:rFonts w:ascii="Times New Roman" w:hAnsi="Times New Roman" w:cs="Times New Roman"/>
          <w:sz w:val="28"/>
          <w:szCs w:val="28"/>
        </w:rPr>
      </w:pPr>
    </w:p>
    <w:p w:rsidR="005304AE" w:rsidRPr="002360C2" w:rsidRDefault="005304AE" w:rsidP="005304AE">
      <w:pPr>
        <w:pStyle w:val="1"/>
        <w:pBdr>
          <w:bottom w:val="single" w:sz="6" w:space="15" w:color="ECECEC"/>
        </w:pBdr>
        <w:shd w:val="clear" w:color="auto" w:fill="FFFFFF"/>
        <w:spacing w:before="0" w:beforeAutospacing="0" w:after="300" w:afterAutospacing="0"/>
        <w:ind w:left="-300" w:right="-300"/>
        <w:jc w:val="both"/>
        <w:rPr>
          <w:b w:val="0"/>
          <w:bCs w:val="0"/>
          <w:sz w:val="28"/>
          <w:szCs w:val="28"/>
        </w:rPr>
      </w:pPr>
      <w:r w:rsidRPr="00436226">
        <w:rPr>
          <w:b w:val="0"/>
          <w:bCs w:val="0"/>
          <w:sz w:val="28"/>
          <w:szCs w:val="28"/>
        </w:rPr>
        <w:t>Право гражданина на защиту чести, дост</w:t>
      </w:r>
      <w:r>
        <w:rPr>
          <w:b w:val="0"/>
          <w:bCs w:val="0"/>
          <w:sz w:val="28"/>
          <w:szCs w:val="28"/>
        </w:rPr>
        <w:t>оинства и деловой репутации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Право гражданина на защиту чести, достоинства и деловой репутации является конституционным правом.</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Согласно п.1 ст. 152 Гражданского кодекса РФ гражданин вправе требовать по суду опровержения порочащих его честь, достоинство или деловую репутацию сведений.</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Решение суда об удовлетворении иска о защите чести, достоинства и деловой репутации может быть вынесено в случае установления совокупности 3-х условий: сведения должны носить порочащий характер, быть распространены и не соответствовать действительности.</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Порочащими, в частности, являются сведения, содержащие утверждения о нарушении действующего законодательства, совершении нечестного поступка,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достоинство или деловую репутацию гражданина.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Закон позволяет требовать опровержения не только порочащих, но и любых сведений, не соответствующих действительности. Однако, истец сам обязан доказать, что указанные сведения не соответствуют действительности, и на подобные случаи не распространяется такой способ защиты, как компенсация морального вреда.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 xml:space="preserve">Под распространением сведений, порочащих честь, достоинство и деловую репутацию граждан, следует понимать опубликование таких сведений в печати, трансляцию по радио и телевидению, демонстрацию в кино, телепрограммах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w:t>
      </w:r>
      <w:r w:rsidRPr="00436226">
        <w:rPr>
          <w:sz w:val="28"/>
          <w:szCs w:val="28"/>
        </w:rPr>
        <w:lastRenderedPageBreak/>
        <w:t>публичных выступлениях, заявлениях, адресованным должностным лицам, или сообщение в той или иной, в том числе устной, форме хотя бы одному лицу.</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Не соответствующим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Также не признаются не соответствующими действительности сведениями суждения, мнения и убеждения.</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Характер распространенной информации должен выражаться именно в утверждении о фактах, соответствие действительности которых можно проверить, а не в оценочных суждениях, выражающих субъективное мнение и взгляды автора.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Обязанность доказать, что распространенные сведения соответствуют действительности, лежит на ответчике. Истец обязан доказать факт распространения сведений лицом, к которому предъявлен иск, а также порочащий характер этих сведений.</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Судебная защита чести, достоинства и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их в сети Интернет лицом, которое невозможно идентифицировать.</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Суд в данном случае вправе по заявлению заинтересованного лица признать распространенные в отношении него сведения не соответствующими действительности, порочащими сведениями. Такое заявление рассматривается в порядке особого производства.</w:t>
      </w:r>
    </w:p>
    <w:p w:rsidR="005304AE" w:rsidRPr="00436226" w:rsidRDefault="005304AE" w:rsidP="005304AE">
      <w:pPr>
        <w:pStyle w:val="a3"/>
        <w:shd w:val="clear" w:color="auto" w:fill="FFFFFF"/>
        <w:spacing w:before="0" w:beforeAutospacing="0" w:after="150" w:afterAutospacing="0" w:line="270" w:lineRule="atLeast"/>
        <w:ind w:firstLine="708"/>
        <w:jc w:val="both"/>
        <w:rPr>
          <w:sz w:val="28"/>
          <w:szCs w:val="28"/>
        </w:rPr>
      </w:pPr>
      <w:r w:rsidRPr="00436226">
        <w:rPr>
          <w:sz w:val="28"/>
          <w:szCs w:val="28"/>
        </w:rPr>
        <w:t>Требования истца о защите чести и достоинства не подлежат удовлетворению, если им оспариваются сведения, изложенные в официальном обращении ответчика в государственный орган или к должностному лицу, а само обращение не содержит оскорбительных выражений и обусловлено намерением ответчика реализовать свое конституционное право на обращение в государственные органы и органы местного самоуправления.</w:t>
      </w:r>
    </w:p>
    <w:p w:rsidR="005304AE" w:rsidRPr="00436226" w:rsidRDefault="005304AE" w:rsidP="005304AE">
      <w:pPr>
        <w:jc w:val="both"/>
        <w:rPr>
          <w:rFonts w:ascii="Times New Roman" w:hAnsi="Times New Roman" w:cs="Times New Roman"/>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Pr="00C7154E" w:rsidRDefault="005304AE" w:rsidP="005304AE">
      <w:pPr>
        <w:pStyle w:val="a3"/>
        <w:shd w:val="clear" w:color="auto" w:fill="FFFFFF"/>
        <w:spacing w:before="0" w:beforeAutospacing="0" w:after="150" w:afterAutospacing="0" w:line="300" w:lineRule="atLeast"/>
        <w:jc w:val="both"/>
        <w:rPr>
          <w:sz w:val="28"/>
          <w:szCs w:val="28"/>
        </w:rPr>
      </w:pPr>
    </w:p>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p w:rsidR="005304AE" w:rsidRDefault="005304AE"/>
    <w:sectPr w:rsidR="005304A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EA" w:rsidRDefault="00EB37EA" w:rsidP="005304AE">
      <w:pPr>
        <w:spacing w:after="0" w:line="240" w:lineRule="auto"/>
      </w:pPr>
      <w:r>
        <w:separator/>
      </w:r>
    </w:p>
  </w:endnote>
  <w:endnote w:type="continuationSeparator" w:id="0">
    <w:p w:rsidR="00EB37EA" w:rsidRDefault="00EB37EA" w:rsidP="0053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EA" w:rsidRDefault="00EB37EA" w:rsidP="005304AE">
      <w:pPr>
        <w:spacing w:after="0" w:line="240" w:lineRule="auto"/>
      </w:pPr>
      <w:r>
        <w:separator/>
      </w:r>
    </w:p>
  </w:footnote>
  <w:footnote w:type="continuationSeparator" w:id="0">
    <w:p w:rsidR="00EB37EA" w:rsidRDefault="00EB37EA" w:rsidP="00530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68"/>
    </w:sdtPr>
    <w:sdtEndPr/>
    <w:sdtContent>
      <w:p w:rsidR="005304AE" w:rsidRDefault="00EB37EA">
        <w:pPr>
          <w:pStyle w:val="a5"/>
          <w:jc w:val="center"/>
        </w:pPr>
        <w:r>
          <w:fldChar w:fldCharType="begin"/>
        </w:r>
        <w:r>
          <w:instrText xml:space="preserve"> PAGE   \* MERGEFORMAT </w:instrText>
        </w:r>
        <w:r>
          <w:fldChar w:fldCharType="separate"/>
        </w:r>
        <w:r w:rsidR="0092052E">
          <w:rPr>
            <w:noProof/>
          </w:rPr>
          <w:t>1</w:t>
        </w:r>
        <w:r>
          <w:rPr>
            <w:noProof/>
          </w:rPr>
          <w:fldChar w:fldCharType="end"/>
        </w:r>
      </w:p>
    </w:sdtContent>
  </w:sdt>
  <w:p w:rsidR="005304AE" w:rsidRDefault="005304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04AE"/>
    <w:rsid w:val="005304AE"/>
    <w:rsid w:val="00813D76"/>
    <w:rsid w:val="0092052E"/>
    <w:rsid w:val="00EB37EA"/>
    <w:rsid w:val="00F0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0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4A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30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304AE"/>
  </w:style>
  <w:style w:type="character" w:styleId="a4">
    <w:name w:val="Hyperlink"/>
    <w:basedOn w:val="a0"/>
    <w:uiPriority w:val="99"/>
    <w:semiHidden/>
    <w:unhideWhenUsed/>
    <w:rsid w:val="005304AE"/>
    <w:rPr>
      <w:color w:val="0000FF"/>
      <w:u w:val="single"/>
    </w:rPr>
  </w:style>
  <w:style w:type="paragraph" w:styleId="a5">
    <w:name w:val="header"/>
    <w:basedOn w:val="a"/>
    <w:link w:val="a6"/>
    <w:uiPriority w:val="99"/>
    <w:unhideWhenUsed/>
    <w:rsid w:val="005304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304AE"/>
  </w:style>
  <w:style w:type="paragraph" w:styleId="a7">
    <w:name w:val="footer"/>
    <w:basedOn w:val="a"/>
    <w:link w:val="a8"/>
    <w:uiPriority w:val="99"/>
    <w:semiHidden/>
    <w:unhideWhenUsed/>
    <w:rsid w:val="005304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10191606503C5CB2D19C3F142BDEA2B10CCFA13B0gAh4I" TargetMode="External"/><Relationship Id="rId3" Type="http://schemas.openxmlformats.org/officeDocument/2006/relationships/settings" Target="settings.xml"/><Relationship Id="rId7" Type="http://schemas.openxmlformats.org/officeDocument/2006/relationships/hyperlink" Target="consultantplus://offline/ref=1963B0D4DD43620501D2B7B4271540D3510191606503C5CB2D19C3F142BDEA2B10CCFA13BFgAh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963B0D4DD43620501D2B7B4271540D3510191606503C5CB2D19C3F142BDEA2B10CCFA13B0gAh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natasha</cp:lastModifiedBy>
  <cp:revision>2</cp:revision>
  <dcterms:created xsi:type="dcterms:W3CDTF">2016-09-26T05:25:00Z</dcterms:created>
  <dcterms:modified xsi:type="dcterms:W3CDTF">2016-09-26T05:25:00Z</dcterms:modified>
</cp:coreProperties>
</file>